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C9" w:rsidRDefault="00DC62C9" w:rsidP="00DC62C9">
      <w:pPr>
        <w:spacing w:line="480" w:lineRule="exact"/>
        <w:jc w:val="center"/>
        <w:rPr>
          <w:rFonts w:ascii="宋体" w:hAnsi="宋体" w:cs="宋体"/>
          <w:b/>
          <w:bCs/>
          <w:sz w:val="30"/>
          <w:szCs w:val="30"/>
        </w:rPr>
      </w:pPr>
      <w:hyperlink r:id="rId5" w:anchor="_Toc214163640" w:history="1">
        <w:r w:rsidRPr="00DC62C9">
          <w:rPr>
            <w:rFonts w:ascii="宋体" w:hAnsi="宋体" w:cs="宋体" w:hint="eastAsia"/>
            <w:b/>
            <w:bCs/>
            <w:sz w:val="30"/>
            <w:szCs w:val="30"/>
          </w:rPr>
          <w:t>评审办法和</w:t>
        </w:r>
      </w:hyperlink>
      <w:r>
        <w:rPr>
          <w:rFonts w:ascii="宋体" w:hAnsi="宋体" w:cs="宋体" w:hint="eastAsia"/>
          <w:b/>
          <w:bCs/>
          <w:sz w:val="30"/>
          <w:szCs w:val="30"/>
        </w:rPr>
        <w:t>评审标准</w:t>
      </w:r>
    </w:p>
    <w:p w:rsidR="00DC62C9" w:rsidRDefault="00DC62C9" w:rsidP="00DC62C9">
      <w:pPr>
        <w:spacing w:line="400" w:lineRule="exact"/>
        <w:ind w:firstLineChars="200" w:firstLine="420"/>
        <w:rPr>
          <w:rFonts w:ascii="宋体" w:hAnsi="宋体" w:cs="宋体" w:hint="eastAsia"/>
          <w:szCs w:val="21"/>
        </w:rPr>
      </w:pPr>
    </w:p>
    <w:p w:rsidR="00DC62C9" w:rsidRDefault="00DC62C9" w:rsidP="00DC62C9">
      <w:pPr>
        <w:pStyle w:val="2"/>
        <w:jc w:val="both"/>
        <w:rPr>
          <w:rFonts w:ascii="宋体" w:eastAsia="宋体" w:hAnsi="宋体" w:hint="eastAsia"/>
          <w:sz w:val="21"/>
          <w:szCs w:val="21"/>
        </w:rPr>
      </w:pPr>
      <w:r>
        <w:rPr>
          <w:rFonts w:ascii="宋体" w:eastAsia="宋体" w:hAnsi="宋体" w:hint="eastAsia"/>
          <w:sz w:val="21"/>
          <w:szCs w:val="21"/>
        </w:rPr>
        <w:t>一、评审办法</w:t>
      </w:r>
    </w:p>
    <w:p w:rsidR="00DC62C9" w:rsidRDefault="00DC62C9" w:rsidP="00DC62C9">
      <w:pPr>
        <w:spacing w:line="400" w:lineRule="exact"/>
        <w:ind w:firstLineChars="200" w:firstLine="420"/>
        <w:rPr>
          <w:rFonts w:ascii="宋体" w:hAnsi="宋体" w:hint="eastAsia"/>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w:t>
      </w:r>
      <w:bookmarkStart w:id="0" w:name="_GoBack"/>
      <w:bookmarkEnd w:id="0"/>
      <w:r>
        <w:rPr>
          <w:rFonts w:ascii="宋体" w:hAnsi="宋体" w:cs="宋体" w:hint="eastAsia"/>
          <w:szCs w:val="21"/>
        </w:rPr>
        <w:t>标小组成员给其评分的算数平均值（保留2位小数）。评标委员按照评标标准评定供应商的分值,按最终评审分由高到低顺序排列。得分相同的，按投标</w:t>
      </w:r>
      <w:r>
        <w:rPr>
          <w:rFonts w:ascii="宋体" w:hAnsi="宋体" w:cs="宋体" w:hint="eastAsia"/>
          <w:kern w:val="0"/>
          <w:szCs w:val="21"/>
        </w:rPr>
        <w:t>最后报价</w:t>
      </w:r>
      <w:r>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作出书面说明。</w:t>
      </w:r>
    </w:p>
    <w:p w:rsidR="00DC62C9" w:rsidRDefault="00DC62C9" w:rsidP="00DC62C9">
      <w:pPr>
        <w:pStyle w:val="2"/>
        <w:spacing w:line="360" w:lineRule="auto"/>
        <w:jc w:val="both"/>
        <w:rPr>
          <w:rFonts w:ascii="宋体" w:eastAsia="宋体" w:hAnsi="宋体" w:hint="eastAsia"/>
          <w:sz w:val="21"/>
          <w:szCs w:val="21"/>
        </w:rPr>
      </w:pPr>
      <w:r>
        <w:rPr>
          <w:rFonts w:ascii="宋体" w:eastAsia="宋体" w:hAnsi="宋体" w:hint="eastAsia"/>
          <w:sz w:val="21"/>
          <w:szCs w:val="21"/>
        </w:rPr>
        <w:t>二、评分细则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34"/>
        <w:gridCol w:w="899"/>
        <w:gridCol w:w="6170"/>
      </w:tblGrid>
      <w:tr w:rsidR="00DC62C9" w:rsidTr="00DC62C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评分标准</w:t>
            </w:r>
          </w:p>
        </w:tc>
      </w:tr>
      <w:tr w:rsidR="00DC62C9" w:rsidTr="00DC62C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价格分（20分）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20分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满足磋商文件要求且响应文件最后投标报价最低的磋商报价为磋商基准价，其价格分为满分，其他供应商的价格分统一按照下列公式计算：</w:t>
            </w:r>
          </w:p>
          <w:p w:rsidR="00DC62C9" w:rsidRDefault="00DC62C9">
            <w:pPr>
              <w:jc w:val="left"/>
              <w:rPr>
                <w:rFonts w:ascii="宋体" w:hAnsi="宋体"/>
                <w:szCs w:val="21"/>
              </w:rPr>
            </w:pPr>
            <w:r>
              <w:rPr>
                <w:rFonts w:ascii="宋体" w:hAnsi="宋体" w:cs="宋体" w:hint="eastAsia"/>
                <w:szCs w:val="21"/>
              </w:rPr>
              <w:t>磋商报价得分=（磋商基准价/最后磋商报价）×20</w:t>
            </w:r>
          </w:p>
        </w:tc>
      </w:tr>
      <w:tr w:rsidR="00DC62C9" w:rsidTr="00DC62C9">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cs="宋体"/>
                <w:b/>
                <w:szCs w:val="21"/>
              </w:rPr>
            </w:pPr>
            <w:r>
              <w:rPr>
                <w:rFonts w:ascii="宋体" w:hAnsi="宋体" w:hint="eastAsia"/>
                <w:snapToGrid w:val="0"/>
                <w:kern w:val="0"/>
                <w:szCs w:val="21"/>
              </w:rPr>
              <w:t>检测服务大纲（40分）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left"/>
              <w:rPr>
                <w:rFonts w:ascii="宋体" w:hAnsi="宋体"/>
                <w:b/>
              </w:rPr>
            </w:pPr>
            <w:r>
              <w:rPr>
                <w:rFonts w:ascii="宋体" w:hAnsi="宋体" w:hint="eastAsia"/>
                <w:b/>
              </w:rPr>
              <w:t>对检测项目的理解</w:t>
            </w:r>
          </w:p>
          <w:p w:rsidR="00DC62C9" w:rsidRDefault="00DC62C9">
            <w:pPr>
              <w:spacing w:line="360" w:lineRule="atLeast"/>
              <w:jc w:val="left"/>
            </w:pPr>
            <w:r>
              <w:rPr>
                <w:rFonts w:hint="eastAsia"/>
              </w:rPr>
              <w:t>根据检测工作项目的理解的全面性等方面进行评分。</w:t>
            </w:r>
          </w:p>
        </w:tc>
      </w:tr>
      <w:tr w:rsidR="00DC62C9" w:rsidTr="00DC62C9">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C62C9" w:rsidRDefault="00DC62C9">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C62C9" w:rsidRDefault="00DC62C9">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left"/>
              <w:rPr>
                <w:rFonts w:ascii="宋体" w:hAnsi="宋体"/>
                <w:b/>
              </w:rPr>
            </w:pPr>
            <w:r>
              <w:rPr>
                <w:rFonts w:ascii="宋体" w:hAnsi="宋体" w:hint="eastAsia"/>
                <w:b/>
                <w:szCs w:val="21"/>
              </w:rPr>
              <w:t>检测工作</w:t>
            </w:r>
            <w:r>
              <w:rPr>
                <w:rFonts w:ascii="宋体" w:hAnsi="宋体" w:hint="eastAsia"/>
                <w:b/>
              </w:rPr>
              <w:t>的程序与方法</w:t>
            </w:r>
          </w:p>
          <w:p w:rsidR="00DC62C9" w:rsidRDefault="00DC62C9">
            <w:pPr>
              <w:spacing w:line="360" w:lineRule="atLeast"/>
              <w:jc w:val="left"/>
            </w:pPr>
            <w:r>
              <w:rPr>
                <w:rFonts w:ascii="宋体" w:hAnsi="宋体" w:cs="Arial" w:hint="eastAsia"/>
                <w:szCs w:val="21"/>
              </w:rPr>
              <w:t>根据检测工作的程序、检测的内容、方法、检测频率、检测手段、检测资料及分析报告、最终报告的形成的可行性、针对性和可靠性等方面进行评分。</w:t>
            </w:r>
          </w:p>
        </w:tc>
      </w:tr>
      <w:tr w:rsidR="00DC62C9" w:rsidTr="00DC62C9">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C62C9" w:rsidRDefault="00DC62C9">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C62C9" w:rsidRDefault="00DC62C9">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left"/>
              <w:rPr>
                <w:rFonts w:ascii="宋体" w:hAnsi="宋体"/>
                <w:b/>
              </w:rPr>
            </w:pPr>
            <w:r>
              <w:rPr>
                <w:rFonts w:ascii="宋体" w:hAnsi="宋体" w:hint="eastAsia"/>
                <w:b/>
                <w:szCs w:val="21"/>
              </w:rPr>
              <w:t>检测工作</w:t>
            </w:r>
            <w:r>
              <w:rPr>
                <w:rFonts w:ascii="宋体" w:hAnsi="宋体" w:hint="eastAsia"/>
                <w:b/>
              </w:rPr>
              <w:t>服务目标及保证措施</w:t>
            </w:r>
          </w:p>
          <w:p w:rsidR="00DC62C9" w:rsidRDefault="00DC62C9">
            <w:pPr>
              <w:pStyle w:val="3"/>
              <w:spacing w:before="0" w:after="0" w:line="240" w:lineRule="auto"/>
            </w:pPr>
            <w:r>
              <w:rPr>
                <w:rFonts w:ascii="宋体" w:hAnsi="宋体" w:cs="宋体" w:hint="eastAsia"/>
                <w:b w:val="0"/>
                <w:sz w:val="21"/>
                <w:szCs w:val="21"/>
              </w:rPr>
              <w:t>根据检测工作服务的目标、保证检测精度的技术措施、检测进度计划及保证检测进度的措施、检测工作质量与服务保证措施、安全生产管理措施等方面进行评分。</w:t>
            </w:r>
          </w:p>
        </w:tc>
      </w:tr>
      <w:tr w:rsidR="00DC62C9" w:rsidTr="00DC62C9">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业绩（15分）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spacing w:line="360" w:lineRule="exact"/>
              <w:jc w:val="left"/>
              <w:rPr>
                <w:rFonts w:ascii="宋体" w:hAnsi="宋体"/>
                <w:szCs w:val="21"/>
              </w:rPr>
            </w:pPr>
            <w:r>
              <w:rPr>
                <w:rFonts w:ascii="宋体" w:hAnsi="宋体" w:hint="eastAsia"/>
                <w:szCs w:val="21"/>
              </w:rPr>
              <w:t>①2015年1月1日至今（以合同签订时间为准）承接过</w:t>
            </w:r>
            <w:r>
              <w:rPr>
                <w:rFonts w:ascii="宋体" w:hAnsi="宋体" w:cs="宋体" w:hint="eastAsia"/>
                <w:kern w:val="0"/>
                <w:szCs w:val="21"/>
              </w:rPr>
              <w:t>公路工程试验检测项目得基本分9分</w:t>
            </w:r>
            <w:r>
              <w:rPr>
                <w:rFonts w:ascii="宋体" w:hAnsi="宋体" w:hint="eastAsia"/>
                <w:szCs w:val="21"/>
              </w:rPr>
              <w:t>。</w:t>
            </w:r>
          </w:p>
          <w:p w:rsidR="00DC62C9" w:rsidRDefault="00DC62C9">
            <w:pPr>
              <w:adjustRightInd w:val="0"/>
              <w:snapToGrid w:val="0"/>
              <w:spacing w:line="360" w:lineRule="exact"/>
              <w:jc w:val="left"/>
              <w:rPr>
                <w:rFonts w:ascii="宋体" w:hAnsi="宋体" w:hint="eastAsia"/>
                <w:szCs w:val="21"/>
              </w:rPr>
            </w:pPr>
            <w:r>
              <w:rPr>
                <w:rFonts w:ascii="宋体" w:hAnsi="宋体" w:hint="eastAsia"/>
                <w:szCs w:val="21"/>
              </w:rPr>
              <w:t>②在①的基础上，2015年1月1日至今（以合同签订时间为准），每增加1个农村公路的试验检测项目业绩加1.5分，最多加3分；每增加1个公路工程平整度检测项目业绩加1.5分，最多加3分。</w:t>
            </w:r>
          </w:p>
          <w:p w:rsidR="00DC62C9" w:rsidRDefault="00DC62C9">
            <w:pPr>
              <w:adjustRightInd w:val="0"/>
              <w:snapToGrid w:val="0"/>
              <w:spacing w:line="360" w:lineRule="exact"/>
              <w:jc w:val="left"/>
              <w:rPr>
                <w:b/>
              </w:rPr>
            </w:pPr>
            <w:r>
              <w:rPr>
                <w:rFonts w:ascii="宋体" w:hAnsi="宋体" w:hint="eastAsia"/>
                <w:b/>
                <w:szCs w:val="21"/>
              </w:rPr>
              <w:t>注：提供完整的业绩合同复印件，不提供不</w:t>
            </w:r>
            <w:r>
              <w:rPr>
                <w:rFonts w:hint="eastAsia"/>
                <w:b/>
              </w:rPr>
              <w:t>得分。同一合同仅计分一次。</w:t>
            </w:r>
          </w:p>
        </w:tc>
      </w:tr>
      <w:tr w:rsidR="00DC62C9" w:rsidTr="00DC62C9">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项目负责人资历</w:t>
            </w:r>
          </w:p>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spacing w:line="360" w:lineRule="exact"/>
              <w:jc w:val="left"/>
              <w:rPr>
                <w:rFonts w:ascii="宋体" w:hAnsi="宋体"/>
                <w:szCs w:val="21"/>
              </w:rPr>
            </w:pPr>
            <w:r>
              <w:rPr>
                <w:rFonts w:ascii="宋体" w:hAnsi="宋体" w:hint="eastAsia"/>
                <w:szCs w:val="21"/>
              </w:rPr>
              <w:t>①</w:t>
            </w:r>
            <w:r>
              <w:rPr>
                <w:rFonts w:ascii="宋体" w:hAnsi="宋体" w:hint="eastAsia"/>
              </w:rPr>
              <w:t>拟投入的项目负责人2015年1月1日起至今（以合同签订时间为准）担任过</w:t>
            </w:r>
            <w:r>
              <w:rPr>
                <w:rFonts w:ascii="宋体" w:hAnsi="宋体" w:cs="宋体" w:hint="eastAsia"/>
                <w:kern w:val="0"/>
                <w:szCs w:val="21"/>
              </w:rPr>
              <w:t>公路工程的试验检测项目</w:t>
            </w:r>
            <w:r>
              <w:rPr>
                <w:rFonts w:ascii="宋体" w:hAnsi="宋体" w:hint="eastAsia"/>
              </w:rPr>
              <w:t>的项目负责人得基本分6分；</w:t>
            </w:r>
          </w:p>
          <w:p w:rsidR="00DC62C9" w:rsidRDefault="00DC62C9">
            <w:pPr>
              <w:adjustRightInd w:val="0"/>
              <w:snapToGrid w:val="0"/>
              <w:spacing w:line="360" w:lineRule="exact"/>
              <w:jc w:val="left"/>
              <w:rPr>
                <w:rFonts w:ascii="宋体" w:hAnsi="宋体" w:hint="eastAsia"/>
              </w:rPr>
            </w:pPr>
            <w:r>
              <w:rPr>
                <w:rFonts w:ascii="宋体" w:hAnsi="宋体" w:hint="eastAsia"/>
                <w:szCs w:val="21"/>
              </w:rPr>
              <w:t>②在①的基础上，</w:t>
            </w:r>
            <w:r>
              <w:rPr>
                <w:rFonts w:ascii="宋体" w:hAnsi="宋体" w:hint="eastAsia"/>
              </w:rPr>
              <w:t>拟投入的项目负责人2015年1月1日起至今（以合同签订时间为准），</w:t>
            </w:r>
            <w:r>
              <w:rPr>
                <w:rFonts w:ascii="宋体" w:hAnsi="宋体" w:hint="eastAsia"/>
                <w:szCs w:val="21"/>
              </w:rPr>
              <w:t>每增加1个公路工程</w:t>
            </w:r>
            <w:r>
              <w:rPr>
                <w:rFonts w:ascii="宋体" w:hAnsi="宋体" w:cs="宋体" w:hint="eastAsia"/>
                <w:kern w:val="0"/>
                <w:szCs w:val="21"/>
              </w:rPr>
              <w:t>试验检测项目</w:t>
            </w:r>
            <w:r>
              <w:rPr>
                <w:rFonts w:ascii="宋体" w:hAnsi="宋体" w:hint="eastAsia"/>
              </w:rPr>
              <w:t>的项目负责人业绩加1分，</w:t>
            </w:r>
            <w:r>
              <w:rPr>
                <w:rFonts w:ascii="宋体" w:hAnsi="宋体" w:hint="eastAsia"/>
                <w:szCs w:val="21"/>
              </w:rPr>
              <w:t>最多加2分；每增加1个公路工程平整度检测</w:t>
            </w:r>
            <w:r>
              <w:rPr>
                <w:rFonts w:ascii="宋体" w:hAnsi="宋体" w:hint="eastAsia"/>
                <w:szCs w:val="21"/>
              </w:rPr>
              <w:lastRenderedPageBreak/>
              <w:t>项目</w:t>
            </w:r>
            <w:r>
              <w:rPr>
                <w:rFonts w:ascii="宋体" w:hAnsi="宋体" w:hint="eastAsia"/>
              </w:rPr>
              <w:t>的项目负责人业绩</w:t>
            </w:r>
            <w:r>
              <w:rPr>
                <w:rFonts w:ascii="宋体" w:hAnsi="宋体" w:hint="eastAsia"/>
                <w:szCs w:val="21"/>
              </w:rPr>
              <w:t>加1分，最多加2分。</w:t>
            </w:r>
          </w:p>
          <w:p w:rsidR="00DC62C9" w:rsidRDefault="00DC62C9">
            <w:pPr>
              <w:pStyle w:val="3"/>
              <w:spacing w:before="0" w:after="0" w:line="360" w:lineRule="exact"/>
              <w:rPr>
                <w:rFonts w:ascii="宋体" w:hAnsi="宋体"/>
                <w:sz w:val="21"/>
                <w:szCs w:val="21"/>
              </w:rPr>
            </w:pPr>
            <w:r>
              <w:rPr>
                <w:rFonts w:ascii="宋体" w:hAnsi="宋体" w:hint="eastAsia"/>
                <w:sz w:val="21"/>
                <w:szCs w:val="21"/>
              </w:rPr>
              <w:t>注：提供完整的业绩合同复印件，不提供不得分。</w:t>
            </w:r>
          </w:p>
        </w:tc>
      </w:tr>
      <w:tr w:rsidR="00DC62C9" w:rsidTr="00DC62C9">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spacing w:line="360" w:lineRule="exact"/>
              <w:jc w:val="left"/>
              <w:rPr>
                <w:rFonts w:ascii="宋体" w:hAnsi="宋体"/>
              </w:rPr>
            </w:pPr>
            <w:r>
              <w:rPr>
                <w:rFonts w:ascii="宋体" w:hAnsi="宋体" w:hint="eastAsia"/>
              </w:rPr>
              <w:t>除项目负责人以外，拟投入的其他人员中有1名具备公路工程试验检测工程师证书的技术负责人和3名具备交通运输行政主管部门颁发的公路工程试验检测员或助理试验检测师及以上资格证书的试验员的得基本分3分；</w:t>
            </w:r>
          </w:p>
          <w:p w:rsidR="00DC62C9" w:rsidRDefault="00DC62C9">
            <w:pPr>
              <w:adjustRightInd w:val="0"/>
              <w:snapToGrid w:val="0"/>
              <w:spacing w:line="360" w:lineRule="exact"/>
              <w:jc w:val="left"/>
              <w:rPr>
                <w:rFonts w:ascii="宋体" w:hAnsi="宋体" w:hint="eastAsia"/>
              </w:rPr>
            </w:pPr>
            <w:r>
              <w:rPr>
                <w:rFonts w:ascii="宋体" w:hAnsi="宋体" w:hint="eastAsia"/>
              </w:rPr>
              <w:t>在此基础上，拟投入的技术负责人2015年1月1日起至今（以合同签订时间为准）每担任过1个公路工程试验检测项目的项目负责人或技术负责人（不含副职），加1分，最多加2分。</w:t>
            </w:r>
          </w:p>
          <w:p w:rsidR="00DC62C9" w:rsidRDefault="00DC62C9">
            <w:pPr>
              <w:adjustRightInd w:val="0"/>
              <w:snapToGrid w:val="0"/>
              <w:spacing w:line="360" w:lineRule="exact"/>
              <w:jc w:val="left"/>
              <w:rPr>
                <w:rFonts w:ascii="宋体" w:hAnsi="宋体" w:hint="eastAsia"/>
                <w:b/>
              </w:rPr>
            </w:pPr>
            <w:r>
              <w:rPr>
                <w:rFonts w:ascii="宋体" w:hAnsi="宋体" w:hint="eastAsia"/>
                <w:b/>
              </w:rPr>
              <w:t>注：①人员提供相关证书复印件，不提供不得分。</w:t>
            </w:r>
          </w:p>
          <w:p w:rsidR="00DC62C9" w:rsidRDefault="00DC62C9">
            <w:pPr>
              <w:adjustRightInd w:val="0"/>
              <w:snapToGrid w:val="0"/>
              <w:spacing w:line="360" w:lineRule="exact"/>
              <w:jc w:val="left"/>
              <w:rPr>
                <w:rFonts w:ascii="宋体" w:hAnsi="宋体" w:cs="微软雅黑"/>
                <w:b/>
                <w:szCs w:val="21"/>
              </w:rPr>
            </w:pPr>
            <w:r>
              <w:rPr>
                <w:rFonts w:ascii="宋体" w:hAnsi="宋体" w:hint="eastAsia"/>
                <w:b/>
              </w:rPr>
              <w:t>②提供完整的业绩合同复印件，不提供不得分。</w:t>
            </w:r>
          </w:p>
        </w:tc>
      </w:tr>
      <w:tr w:rsidR="00DC62C9" w:rsidTr="00DC62C9">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拟投入的设备</w:t>
            </w:r>
          </w:p>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spacing w:line="360" w:lineRule="exact"/>
              <w:jc w:val="left"/>
              <w:rPr>
                <w:rFonts w:ascii="宋体" w:hAnsi="宋体"/>
              </w:rPr>
            </w:pPr>
            <w:r>
              <w:rPr>
                <w:rFonts w:ascii="宋体" w:hAnsi="宋体" w:hint="eastAsia"/>
              </w:rPr>
              <w:t>拥有具有检测平整度指标功能的检测装备一台的基本分2分，每多一台加1.5分，最多加3分。</w:t>
            </w:r>
          </w:p>
          <w:p w:rsidR="00DC62C9" w:rsidRDefault="00DC62C9">
            <w:pPr>
              <w:adjustRightInd w:val="0"/>
              <w:snapToGrid w:val="0"/>
              <w:spacing w:line="360" w:lineRule="exact"/>
              <w:jc w:val="left"/>
            </w:pPr>
            <w:r>
              <w:rPr>
                <w:rFonts w:ascii="宋体" w:hAnsi="宋体" w:hint="eastAsia"/>
                <w:b/>
              </w:rPr>
              <w:t>注：设备需提供购买合同或发票等证明材料复印件，不提供不得分。</w:t>
            </w:r>
          </w:p>
        </w:tc>
      </w:tr>
      <w:tr w:rsidR="00DC62C9" w:rsidTr="00DC62C9">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zCs w:val="21"/>
              </w:rPr>
            </w:pPr>
            <w:r>
              <w:rPr>
                <w:rFonts w:ascii="宋体" w:hAnsi="宋体" w:hint="eastAsia"/>
                <w:szCs w:val="21"/>
              </w:rPr>
              <w:t>7</w:t>
            </w:r>
          </w:p>
        </w:tc>
        <w:tc>
          <w:tcPr>
            <w:tcW w:w="1735"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jc w:val="center"/>
              <w:rPr>
                <w:rFonts w:ascii="宋体" w:hAnsi="宋体"/>
                <w:snapToGrid w:val="0"/>
                <w:kern w:val="0"/>
                <w:szCs w:val="21"/>
              </w:rPr>
            </w:pPr>
            <w:r>
              <w:rPr>
                <w:rFonts w:ascii="宋体" w:hAnsi="宋体" w:hint="eastAsia"/>
                <w:snapToGrid w:val="0"/>
                <w:kern w:val="0"/>
                <w:szCs w:val="21"/>
              </w:rPr>
              <w:t>单位实力（5分）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C62C9" w:rsidRDefault="00DC62C9">
            <w:pPr>
              <w:jc w:val="center"/>
              <w:rPr>
                <w:rFonts w:ascii="宋体" w:hAnsi="宋体"/>
                <w:snapToGrid w:val="0"/>
                <w:kern w:val="0"/>
                <w:szCs w:val="21"/>
              </w:rPr>
            </w:pPr>
            <w:r>
              <w:rPr>
                <w:rFonts w:ascii="宋体" w:hAnsi="宋体" w:hint="eastAsia"/>
                <w:snapToGrid w:val="0"/>
                <w:kern w:val="0"/>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C62C9" w:rsidRDefault="00DC62C9">
            <w:pPr>
              <w:adjustRightInd w:val="0"/>
              <w:snapToGrid w:val="0"/>
              <w:spacing w:line="360" w:lineRule="exact"/>
              <w:jc w:val="left"/>
              <w:rPr>
                <w:rFonts w:ascii="宋体" w:hAnsi="宋体"/>
              </w:rPr>
            </w:pPr>
            <w:r>
              <w:rPr>
                <w:rFonts w:ascii="宋体" w:hAnsi="宋体" w:hint="eastAsia"/>
                <w:szCs w:val="21"/>
              </w:rPr>
              <w:t>①</w:t>
            </w:r>
            <w:r>
              <w:rPr>
                <w:rFonts w:ascii="宋体" w:hAnsi="宋体" w:hint="eastAsia"/>
              </w:rPr>
              <w:t>具有有效的ISO质量管理体系、环境管理体系、职业健康与安全管理体系认证证书，同时具备得3分，否则不得分；</w:t>
            </w:r>
          </w:p>
          <w:p w:rsidR="00DC62C9" w:rsidRDefault="00DC62C9">
            <w:pPr>
              <w:adjustRightInd w:val="0"/>
              <w:snapToGrid w:val="0"/>
              <w:spacing w:line="360" w:lineRule="exact"/>
              <w:jc w:val="left"/>
              <w:rPr>
                <w:rFonts w:ascii="宋体" w:hAnsi="宋体" w:hint="eastAsia"/>
              </w:rPr>
            </w:pPr>
            <w:r>
              <w:rPr>
                <w:rFonts w:ascii="宋体" w:hAnsi="宋体" w:hint="eastAsia"/>
                <w:szCs w:val="21"/>
              </w:rPr>
              <w:t>②</w:t>
            </w:r>
            <w:r>
              <w:rPr>
                <w:rFonts w:ascii="宋体" w:hAnsi="宋体" w:hint="eastAsia"/>
              </w:rPr>
              <w:t>具有“中国合格评定国家认可委员会”（CNAS）颁发的检验机构认可证书，得1分；具有“中国合格评定国家认可委员会”（CNAS）颁发的实验室认可证书，得1分；</w:t>
            </w:r>
          </w:p>
          <w:p w:rsidR="00DC62C9" w:rsidRDefault="00DC62C9">
            <w:pPr>
              <w:adjustRightInd w:val="0"/>
              <w:snapToGrid w:val="0"/>
              <w:spacing w:line="360" w:lineRule="exact"/>
              <w:jc w:val="left"/>
            </w:pPr>
            <w:r>
              <w:rPr>
                <w:rFonts w:ascii="宋体" w:hAnsi="宋体" w:hint="eastAsia"/>
                <w:b/>
              </w:rPr>
              <w:t>注：提供证书复印件，不提供不得分。</w:t>
            </w:r>
          </w:p>
        </w:tc>
      </w:tr>
    </w:tbl>
    <w:p w:rsidR="00DC62C9" w:rsidRDefault="00DC62C9" w:rsidP="00DC62C9">
      <w:pPr>
        <w:spacing w:line="360" w:lineRule="auto"/>
        <w:ind w:firstLineChars="200" w:firstLine="422"/>
        <w:rPr>
          <w:rFonts w:ascii="宋体" w:hAnsi="宋体" w:cs="宋体" w:hint="eastAsia"/>
          <w:szCs w:val="21"/>
        </w:rPr>
      </w:pPr>
      <w:r>
        <w:rPr>
          <w:rFonts w:ascii="宋体" w:hAnsi="宋体" w:cs="宋体" w:hint="eastAsia"/>
          <w:b/>
          <w:szCs w:val="21"/>
        </w:rPr>
        <w:t>注：</w:t>
      </w:r>
    </w:p>
    <w:p w:rsidR="00DC62C9" w:rsidRDefault="00DC62C9" w:rsidP="00DC62C9">
      <w:pPr>
        <w:spacing w:line="360" w:lineRule="auto"/>
        <w:ind w:firstLineChars="200" w:firstLine="420"/>
        <w:rPr>
          <w:rFonts w:ascii="宋体" w:hAnsi="宋体" w:cs="宋体" w:hint="eastAsia"/>
          <w:szCs w:val="21"/>
        </w:rPr>
      </w:pPr>
      <w:r>
        <w:rPr>
          <w:rFonts w:ascii="宋体" w:hAnsi="宋体" w:cs="宋体" w:hint="eastAsia"/>
          <w:szCs w:val="21"/>
        </w:rPr>
        <w:t>1.评审时，未能按以上要求提供相应证明（复印件和原件、公证件）的，不作为评审依据，不得分。</w:t>
      </w:r>
    </w:p>
    <w:p w:rsidR="00DC62C9" w:rsidRDefault="00DC62C9" w:rsidP="00DC62C9">
      <w:pPr>
        <w:spacing w:line="360" w:lineRule="auto"/>
        <w:ind w:firstLineChars="200" w:firstLine="420"/>
        <w:rPr>
          <w:rFonts w:ascii="宋体" w:hAnsi="宋体" w:cs="宋体" w:hint="eastAsia"/>
          <w:szCs w:val="21"/>
        </w:rPr>
      </w:pPr>
      <w:r>
        <w:rPr>
          <w:rFonts w:ascii="宋体" w:hAnsi="宋体" w:cs="宋体" w:hint="eastAsia"/>
          <w:szCs w:val="21"/>
        </w:rPr>
        <w:t>2.供应商按评分细则所有得分项目均视为对本次招标的承诺，中标后均作为合同的组成部分。</w:t>
      </w:r>
    </w:p>
    <w:p w:rsidR="00DC62C9" w:rsidRDefault="00DC62C9" w:rsidP="00DC62C9">
      <w:pPr>
        <w:spacing w:line="360" w:lineRule="auto"/>
        <w:ind w:firstLineChars="200" w:firstLine="420"/>
        <w:rPr>
          <w:rFonts w:ascii="宋体" w:hAnsi="宋体" w:cs="宋体" w:hint="eastAsia"/>
          <w:szCs w:val="21"/>
        </w:rPr>
      </w:pPr>
      <w:r>
        <w:rPr>
          <w:rFonts w:ascii="宋体" w:hAnsi="宋体" w:cs="宋体" w:hint="eastAsia"/>
          <w:szCs w:val="21"/>
        </w:rPr>
        <w:t>3.为便于评分，请供应商按评分表样式，逐条列出证明材料所在页码，格式自定。</w:t>
      </w:r>
    </w:p>
    <w:p w:rsidR="00DC62C9" w:rsidRDefault="00DC62C9" w:rsidP="00DC62C9">
      <w:pPr>
        <w:rPr>
          <w:rFonts w:ascii="宋体" w:hAnsi="宋体" w:cs="宋体" w:hint="eastAsia"/>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DC62C9" w:rsidTr="00DC62C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rPr>
                <w:rFonts w:ascii="宋体" w:hAnsi="宋体" w:cs="宋体"/>
                <w:szCs w:val="21"/>
              </w:rPr>
            </w:pPr>
            <w:r>
              <w:rPr>
                <w:rFonts w:ascii="宋体" w:hAnsi="宋体" w:cs="宋体" w:hint="eastAsia"/>
                <w:szCs w:val="21"/>
              </w:rPr>
              <w:t>备注</w:t>
            </w:r>
          </w:p>
        </w:tc>
      </w:tr>
      <w:tr w:rsidR="00DC62C9" w:rsidTr="00DC62C9">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DC62C9" w:rsidRDefault="00DC62C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rPr>
                <w:rFonts w:ascii="宋体" w:hAnsi="宋体" w:cs="宋体"/>
                <w:szCs w:val="21"/>
              </w:rPr>
            </w:pPr>
            <w:r>
              <w:rPr>
                <w:rFonts w:ascii="宋体" w:hAnsi="宋体" w:cs="宋体" w:hint="eastAsia"/>
                <w:szCs w:val="21"/>
              </w:rPr>
              <w:t>见响应文件        页</w:t>
            </w:r>
          </w:p>
        </w:tc>
      </w:tr>
      <w:tr w:rsidR="00DC62C9" w:rsidTr="00DC62C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DC62C9" w:rsidRDefault="00DC62C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rPr>
                <w:rFonts w:ascii="宋体" w:hAnsi="宋体" w:cs="宋体"/>
                <w:szCs w:val="21"/>
              </w:rPr>
            </w:pPr>
            <w:r>
              <w:rPr>
                <w:rFonts w:ascii="宋体" w:hAnsi="宋体" w:cs="宋体" w:hint="eastAsia"/>
                <w:szCs w:val="21"/>
              </w:rPr>
              <w:t>见响应文件        页</w:t>
            </w:r>
          </w:p>
        </w:tc>
      </w:tr>
      <w:tr w:rsidR="00DC62C9" w:rsidTr="00DC62C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DC62C9" w:rsidRDefault="00DC62C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rPr>
                <w:rFonts w:ascii="宋体" w:hAnsi="宋体" w:cs="宋体"/>
                <w:szCs w:val="21"/>
              </w:rPr>
            </w:pPr>
            <w:r>
              <w:rPr>
                <w:rFonts w:ascii="宋体" w:hAnsi="宋体" w:cs="宋体" w:hint="eastAsia"/>
                <w:szCs w:val="21"/>
              </w:rPr>
              <w:t>见响应文件        页</w:t>
            </w:r>
          </w:p>
        </w:tc>
      </w:tr>
      <w:tr w:rsidR="00DC62C9" w:rsidTr="00DC62C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DC62C9" w:rsidRDefault="00DC62C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rPr>
                <w:rFonts w:ascii="宋体" w:hAnsi="宋体" w:cs="宋体"/>
                <w:szCs w:val="21"/>
              </w:rPr>
            </w:pPr>
            <w:r>
              <w:rPr>
                <w:rFonts w:ascii="宋体" w:hAnsi="宋体" w:cs="宋体" w:hint="eastAsia"/>
                <w:szCs w:val="21"/>
              </w:rPr>
              <w:t>见响应文件        页</w:t>
            </w:r>
          </w:p>
        </w:tc>
      </w:tr>
      <w:tr w:rsidR="00DC62C9" w:rsidTr="00DC62C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DC62C9" w:rsidRDefault="00DC62C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C62C9" w:rsidRDefault="00DC62C9">
            <w:pPr>
              <w:spacing w:line="360" w:lineRule="auto"/>
              <w:rPr>
                <w:rFonts w:ascii="宋体" w:hAnsi="宋体" w:cs="宋体"/>
                <w:szCs w:val="21"/>
              </w:rPr>
            </w:pPr>
            <w:r>
              <w:rPr>
                <w:rFonts w:ascii="宋体" w:hAnsi="宋体" w:cs="宋体" w:hint="eastAsia"/>
                <w:szCs w:val="21"/>
              </w:rPr>
              <w:t>见响应文件        页</w:t>
            </w:r>
          </w:p>
        </w:tc>
      </w:tr>
    </w:tbl>
    <w:p w:rsidR="00310E6A" w:rsidRDefault="00310E6A"/>
    <w:sectPr w:rsidR="00310E6A" w:rsidSect="00DC62C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E4"/>
    <w:rsid w:val="00310E6A"/>
    <w:rsid w:val="00DC62C9"/>
    <w:rsid w:val="00FF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C62C9"/>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DC62C9"/>
    <w:pPr>
      <w:keepNext/>
      <w:jc w:val="center"/>
      <w:outlineLvl w:val="1"/>
    </w:pPr>
    <w:rPr>
      <w:rFonts w:ascii="楷体_GB2312" w:eastAsia="楷体_GB2312" w:cs="宋体"/>
      <w:b/>
      <w:sz w:val="28"/>
      <w:szCs w:val="28"/>
    </w:rPr>
  </w:style>
  <w:style w:type="paragraph" w:styleId="3">
    <w:name w:val="heading 3"/>
    <w:basedOn w:val="a"/>
    <w:next w:val="a"/>
    <w:link w:val="3Char"/>
    <w:uiPriority w:val="9"/>
    <w:unhideWhenUsed/>
    <w:qFormat/>
    <w:rsid w:val="00DC62C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DC62C9"/>
    <w:rPr>
      <w:rFonts w:ascii="楷体_GB2312" w:eastAsia="楷体_GB2312" w:hAnsi="Calibri" w:cs="宋体"/>
      <w:b/>
      <w:sz w:val="28"/>
      <w:szCs w:val="28"/>
    </w:rPr>
  </w:style>
  <w:style w:type="character" w:customStyle="1" w:styleId="3Char">
    <w:name w:val="标题 3 Char"/>
    <w:basedOn w:val="a0"/>
    <w:link w:val="3"/>
    <w:uiPriority w:val="9"/>
    <w:qFormat/>
    <w:rsid w:val="00DC62C9"/>
    <w:rPr>
      <w:rFonts w:ascii="Calibri" w:eastAsia="宋体" w:hAnsi="Calibri" w:cs="Times New Roman"/>
      <w:b/>
      <w:bCs/>
      <w:sz w:val="32"/>
      <w:szCs w:val="32"/>
    </w:rPr>
  </w:style>
  <w:style w:type="character" w:styleId="a3">
    <w:name w:val="Hyperlink"/>
    <w:basedOn w:val="a0"/>
    <w:uiPriority w:val="99"/>
    <w:semiHidden/>
    <w:unhideWhenUsed/>
    <w:rsid w:val="00DC62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C62C9"/>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DC62C9"/>
    <w:pPr>
      <w:keepNext/>
      <w:jc w:val="center"/>
      <w:outlineLvl w:val="1"/>
    </w:pPr>
    <w:rPr>
      <w:rFonts w:ascii="楷体_GB2312" w:eastAsia="楷体_GB2312" w:cs="宋体"/>
      <w:b/>
      <w:sz w:val="28"/>
      <w:szCs w:val="28"/>
    </w:rPr>
  </w:style>
  <w:style w:type="paragraph" w:styleId="3">
    <w:name w:val="heading 3"/>
    <w:basedOn w:val="a"/>
    <w:next w:val="a"/>
    <w:link w:val="3Char"/>
    <w:uiPriority w:val="9"/>
    <w:unhideWhenUsed/>
    <w:qFormat/>
    <w:rsid w:val="00DC62C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DC62C9"/>
    <w:rPr>
      <w:rFonts w:ascii="楷体_GB2312" w:eastAsia="楷体_GB2312" w:hAnsi="Calibri" w:cs="宋体"/>
      <w:b/>
      <w:sz w:val="28"/>
      <w:szCs w:val="28"/>
    </w:rPr>
  </w:style>
  <w:style w:type="character" w:customStyle="1" w:styleId="3Char">
    <w:name w:val="标题 3 Char"/>
    <w:basedOn w:val="a0"/>
    <w:link w:val="3"/>
    <w:uiPriority w:val="9"/>
    <w:qFormat/>
    <w:rsid w:val="00DC62C9"/>
    <w:rPr>
      <w:rFonts w:ascii="Calibri" w:eastAsia="宋体" w:hAnsi="Calibri" w:cs="Times New Roman"/>
      <w:b/>
      <w:bCs/>
      <w:sz w:val="32"/>
      <w:szCs w:val="32"/>
    </w:rPr>
  </w:style>
  <w:style w:type="character" w:styleId="a3">
    <w:name w:val="Hyperlink"/>
    <w:basedOn w:val="a0"/>
    <w:uiPriority w:val="99"/>
    <w:semiHidden/>
    <w:unhideWhenUsed/>
    <w:rsid w:val="00DC6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0.111\&#20849;&#20139;&#25991;&#20214;\&#25311;&#22788;&#29702;\1%20%20&#23385;&#23047;\3-7&#12304;&#24464;&#28504;&#12305;&#24120;&#24030;&#24066;2021&#24180;&#24230;&#20892;&#26449;&#20844;&#36335;&#24179;&#25972;&#24230;&#26816;&#27979;&#39033;&#30446;&#12304;3.9%2015&#65306;00&#12305;\2%20&#31454;&#20105;&#24615;&#30923;&#21830;&#25991;&#20214;\2021&#24180;&#24230;&#20892;&#26449;&#20844;&#36335;&#24179;&#25972;&#24230;&#26816;&#27979;&#39033;&#30446;&#31454;&#20105;&#24615;&#30923;&#21830;&#25991;&#20214;&#12304;2.26&#1230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2021-03-06T06:45:00Z</dcterms:created>
  <dcterms:modified xsi:type="dcterms:W3CDTF">2021-03-06T06:45:00Z</dcterms:modified>
</cp:coreProperties>
</file>