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037" w:rsidRDefault="000B3037" w:rsidP="000B3037">
      <w:pPr>
        <w:snapToGrid w:val="0"/>
        <w:spacing w:line="400" w:lineRule="exact"/>
        <w:jc w:val="center"/>
        <w:rPr>
          <w:rFonts w:ascii="宋体" w:hAnsi="宋体" w:cs="宋体"/>
          <w:b/>
          <w:bCs/>
          <w:sz w:val="30"/>
          <w:szCs w:val="30"/>
        </w:rPr>
      </w:pPr>
      <w:r>
        <w:fldChar w:fldCharType="begin"/>
      </w:r>
      <w:r>
        <w:instrText xml:space="preserve"> HYPERLINK \l "_Toc214163640" </w:instrText>
      </w:r>
      <w:r>
        <w:fldChar w:fldCharType="separate"/>
      </w:r>
      <w:r>
        <w:rPr>
          <w:rFonts w:ascii="宋体" w:hAnsi="宋体" w:cs="宋体" w:hint="eastAsia"/>
          <w:b/>
          <w:bCs/>
          <w:sz w:val="30"/>
          <w:szCs w:val="30"/>
        </w:rPr>
        <w:t>评审办法和</w:t>
      </w:r>
      <w:r>
        <w:rPr>
          <w:rFonts w:ascii="宋体" w:hAnsi="宋体" w:cs="宋体"/>
          <w:b/>
          <w:bCs/>
          <w:sz w:val="30"/>
          <w:szCs w:val="30"/>
        </w:rPr>
        <w:fldChar w:fldCharType="end"/>
      </w:r>
      <w:r>
        <w:rPr>
          <w:rFonts w:ascii="宋体" w:hAnsi="宋体" w:cs="宋体" w:hint="eastAsia"/>
          <w:b/>
          <w:bCs/>
          <w:sz w:val="30"/>
          <w:szCs w:val="30"/>
        </w:rPr>
        <w:t>评审标准</w:t>
      </w:r>
    </w:p>
    <w:p w:rsidR="000B3037" w:rsidRDefault="000B3037" w:rsidP="000B3037">
      <w:pPr>
        <w:spacing w:line="400" w:lineRule="exact"/>
        <w:ind w:firstLineChars="200" w:firstLine="420"/>
        <w:rPr>
          <w:rFonts w:ascii="宋体" w:hAnsi="宋体" w:cs="宋体"/>
          <w:szCs w:val="21"/>
        </w:rPr>
      </w:pPr>
    </w:p>
    <w:p w:rsidR="000B3037" w:rsidRDefault="000B3037" w:rsidP="000B3037">
      <w:pPr>
        <w:pStyle w:val="2"/>
        <w:jc w:val="both"/>
        <w:rPr>
          <w:rFonts w:ascii="宋体" w:eastAsia="宋体" w:hAnsi="宋体" w:cs="宋体" w:hint="default"/>
          <w:sz w:val="21"/>
          <w:szCs w:val="21"/>
        </w:rPr>
      </w:pPr>
      <w:r>
        <w:rPr>
          <w:rFonts w:ascii="宋体" w:eastAsia="宋体" w:hAnsi="宋体" w:cs="宋体"/>
          <w:sz w:val="21"/>
          <w:szCs w:val="21"/>
        </w:rPr>
        <w:t>一、评审办法</w:t>
      </w:r>
    </w:p>
    <w:p w:rsidR="000B3037" w:rsidRDefault="000B3037" w:rsidP="000B3037">
      <w:pPr>
        <w:spacing w:line="400" w:lineRule="exact"/>
        <w:ind w:firstLineChars="200" w:firstLine="420"/>
        <w:rPr>
          <w:rFonts w:ascii="宋体" w:hAnsi="宋体"/>
          <w:szCs w:val="21"/>
        </w:rPr>
      </w:pPr>
      <w:r>
        <w:rPr>
          <w:rFonts w:ascii="宋体" w:hAnsi="宋体" w:cs="宋体" w:hint="eastAsia"/>
          <w:szCs w:val="21"/>
        </w:rPr>
        <w:t>本次招标采用综合评分法，将供应商资质条件、对本项目的研究、价格等各项因素作为评价的基础，综合评选出最佳方案。每一供应商的最终得分为所有招标小组成员给其评分的算数平均值（保留2位小数）。评标委员按照评标标准评定供应商的分值,按最终评审分由高到低顺序排列。得分相同的，按磋商</w:t>
      </w:r>
      <w:r>
        <w:rPr>
          <w:rFonts w:ascii="宋体" w:hAnsi="宋体" w:cs="宋体" w:hint="eastAsia"/>
          <w:kern w:val="0"/>
          <w:szCs w:val="21"/>
        </w:rPr>
        <w:t>最后报价</w:t>
      </w:r>
      <w:r>
        <w:rPr>
          <w:rFonts w:ascii="宋体" w:hAnsi="宋体" w:cs="宋体" w:hint="eastAsia"/>
          <w:szCs w:val="21"/>
        </w:rPr>
        <w:t>由低到高顺序排列。得分且磋商报价相同的，由采购人现场抽签决定第一中标候选人。磋</w:t>
      </w:r>
      <w:bookmarkStart w:id="0" w:name="_GoBack"/>
      <w:bookmarkEnd w:id="0"/>
      <w:r>
        <w:rPr>
          <w:rFonts w:ascii="宋体" w:hAnsi="宋体" w:cs="宋体" w:hint="eastAsia"/>
          <w:szCs w:val="21"/>
        </w:rPr>
        <w:t>商小组共同认定的客观分评审部分，需磋商小组成员共同讨论、独立打分，存在不同意见的，磋商小组成员分别</w:t>
      </w:r>
      <w:proofErr w:type="gramStart"/>
      <w:r>
        <w:rPr>
          <w:rFonts w:ascii="宋体" w:hAnsi="宋体" w:cs="宋体" w:hint="eastAsia"/>
          <w:szCs w:val="21"/>
        </w:rPr>
        <w:t>作出</w:t>
      </w:r>
      <w:proofErr w:type="gramEnd"/>
      <w:r>
        <w:rPr>
          <w:rFonts w:ascii="宋体" w:hAnsi="宋体" w:cs="宋体" w:hint="eastAsia"/>
          <w:szCs w:val="21"/>
        </w:rPr>
        <w:t>书面说明。</w:t>
      </w:r>
    </w:p>
    <w:p w:rsidR="000B3037" w:rsidRDefault="000B3037" w:rsidP="000B3037">
      <w:pPr>
        <w:pStyle w:val="2"/>
        <w:spacing w:line="360" w:lineRule="auto"/>
        <w:jc w:val="both"/>
        <w:rPr>
          <w:rFonts w:ascii="宋体" w:eastAsia="宋体" w:hAnsi="宋体" w:cs="宋体" w:hint="default"/>
          <w:sz w:val="21"/>
          <w:szCs w:val="21"/>
        </w:rPr>
      </w:pPr>
      <w:r>
        <w:rPr>
          <w:rFonts w:ascii="宋体" w:eastAsia="宋体" w:hAnsi="宋体" w:cs="宋体"/>
          <w:sz w:val="21"/>
          <w:szCs w:val="21"/>
        </w:rPr>
        <w:t>二、评分细则</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63"/>
        <w:gridCol w:w="753"/>
        <w:gridCol w:w="6600"/>
      </w:tblGrid>
      <w:tr w:rsidR="000B3037" w:rsidRPr="0030626B" w:rsidTr="00875DB9">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b/>
                <w:szCs w:val="21"/>
              </w:rPr>
            </w:pPr>
            <w:r w:rsidRPr="0030626B">
              <w:rPr>
                <w:rFonts w:asciiTheme="minorEastAsia" w:eastAsiaTheme="minorEastAsia" w:hAnsiTheme="minorEastAsia" w:hint="eastAsia"/>
                <w:b/>
                <w:szCs w:val="21"/>
              </w:rPr>
              <w:t>序号</w:t>
            </w:r>
          </w:p>
        </w:tc>
        <w:tc>
          <w:tcPr>
            <w:tcW w:w="166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b/>
                <w:szCs w:val="21"/>
              </w:rPr>
            </w:pPr>
            <w:r w:rsidRPr="0030626B">
              <w:rPr>
                <w:rFonts w:asciiTheme="minorEastAsia" w:eastAsiaTheme="minorEastAsia" w:hAnsiTheme="minorEastAsia" w:hint="eastAsia"/>
                <w:b/>
                <w:bCs/>
                <w:szCs w:val="21"/>
              </w:rPr>
              <w:t>评审项目</w:t>
            </w:r>
          </w:p>
        </w:tc>
        <w:tc>
          <w:tcPr>
            <w:tcW w:w="75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b/>
                <w:szCs w:val="21"/>
              </w:rPr>
            </w:pPr>
            <w:r w:rsidRPr="0030626B">
              <w:rPr>
                <w:rFonts w:asciiTheme="minorEastAsia" w:eastAsiaTheme="minorEastAsia" w:hAnsiTheme="minorEastAsia" w:hint="eastAsia"/>
                <w:b/>
                <w:szCs w:val="21"/>
              </w:rPr>
              <w:t>最高得分</w:t>
            </w:r>
          </w:p>
        </w:tc>
        <w:tc>
          <w:tcPr>
            <w:tcW w:w="660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b/>
                <w:szCs w:val="21"/>
              </w:rPr>
            </w:pPr>
            <w:r w:rsidRPr="0030626B">
              <w:rPr>
                <w:rFonts w:asciiTheme="minorEastAsia" w:eastAsiaTheme="minorEastAsia" w:hAnsiTheme="minorEastAsia" w:hint="eastAsia"/>
                <w:b/>
                <w:bCs/>
                <w:szCs w:val="21"/>
              </w:rPr>
              <w:t>评审因素及评分规定</w:t>
            </w:r>
          </w:p>
        </w:tc>
      </w:tr>
      <w:tr w:rsidR="000B3037" w:rsidRPr="0030626B" w:rsidTr="00875DB9">
        <w:trPr>
          <w:trHeight w:val="449"/>
          <w:jc w:val="center"/>
        </w:trPr>
        <w:tc>
          <w:tcPr>
            <w:tcW w:w="9736" w:type="dxa"/>
            <w:gridSpan w:val="4"/>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一、</w:t>
            </w:r>
            <w:r>
              <w:rPr>
                <w:rFonts w:asciiTheme="minorEastAsia" w:eastAsiaTheme="minorEastAsia" w:hAnsiTheme="minorEastAsia" w:hint="eastAsia"/>
                <w:szCs w:val="21"/>
              </w:rPr>
              <w:t>磋商</w:t>
            </w:r>
            <w:r w:rsidRPr="0030626B">
              <w:rPr>
                <w:rFonts w:asciiTheme="minorEastAsia" w:eastAsiaTheme="minorEastAsia" w:hAnsiTheme="minorEastAsia" w:hint="eastAsia"/>
                <w:szCs w:val="21"/>
              </w:rPr>
              <w:t>报价</w:t>
            </w:r>
          </w:p>
        </w:tc>
      </w:tr>
      <w:tr w:rsidR="000B3037" w:rsidRPr="0030626B" w:rsidTr="00875DB9">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1</w:t>
            </w:r>
          </w:p>
        </w:tc>
        <w:tc>
          <w:tcPr>
            <w:tcW w:w="166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Pr>
                <w:rFonts w:asciiTheme="minorEastAsia" w:eastAsiaTheme="minorEastAsia" w:hAnsiTheme="minorEastAsia" w:hint="eastAsia"/>
                <w:szCs w:val="21"/>
              </w:rPr>
              <w:t>磋商</w:t>
            </w:r>
            <w:r w:rsidRPr="0030626B">
              <w:rPr>
                <w:rFonts w:asciiTheme="minorEastAsia" w:eastAsiaTheme="minorEastAsia" w:hAnsiTheme="minorEastAsia" w:hint="eastAsia"/>
                <w:szCs w:val="21"/>
              </w:rPr>
              <w:t>报价</w:t>
            </w:r>
          </w:p>
        </w:tc>
        <w:tc>
          <w:tcPr>
            <w:tcW w:w="75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10</w:t>
            </w:r>
            <w:r>
              <w:rPr>
                <w:rFonts w:asciiTheme="minorEastAsia" w:eastAsiaTheme="minorEastAsia" w:hAnsiTheme="minorEastAsia" w:hint="eastAsia"/>
                <w:szCs w:val="21"/>
              </w:rPr>
              <w:t>分</w:t>
            </w:r>
          </w:p>
        </w:tc>
        <w:tc>
          <w:tcPr>
            <w:tcW w:w="660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rPr>
                <w:rFonts w:asciiTheme="minorEastAsia" w:eastAsiaTheme="minorEastAsia" w:hAnsiTheme="minorEastAsia"/>
                <w:szCs w:val="21"/>
              </w:rPr>
            </w:pPr>
            <w:r w:rsidRPr="0030626B">
              <w:rPr>
                <w:rFonts w:asciiTheme="minorEastAsia" w:eastAsiaTheme="minorEastAsia" w:hAnsiTheme="minorEastAsia" w:hint="eastAsia"/>
                <w:szCs w:val="21"/>
              </w:rPr>
              <w:t>满足</w:t>
            </w:r>
            <w:r>
              <w:rPr>
                <w:rFonts w:asciiTheme="minorEastAsia" w:eastAsiaTheme="minorEastAsia" w:hAnsiTheme="minorEastAsia" w:hint="eastAsia"/>
                <w:szCs w:val="21"/>
              </w:rPr>
              <w:t>磋商</w:t>
            </w:r>
            <w:r w:rsidRPr="0030626B">
              <w:rPr>
                <w:rFonts w:asciiTheme="minorEastAsia" w:eastAsiaTheme="minorEastAsia" w:hAnsiTheme="minorEastAsia" w:hint="eastAsia"/>
                <w:szCs w:val="21"/>
              </w:rPr>
              <w:t>文件要求且</w:t>
            </w:r>
            <w:r>
              <w:rPr>
                <w:rFonts w:asciiTheme="minorEastAsia" w:eastAsiaTheme="minorEastAsia" w:hAnsiTheme="minorEastAsia" w:hint="eastAsia"/>
                <w:szCs w:val="21"/>
              </w:rPr>
              <w:t>磋商</w:t>
            </w:r>
            <w:r w:rsidRPr="0030626B">
              <w:rPr>
                <w:rFonts w:asciiTheme="minorEastAsia" w:eastAsiaTheme="minorEastAsia" w:hAnsiTheme="minorEastAsia" w:hint="eastAsia"/>
                <w:szCs w:val="21"/>
              </w:rPr>
              <w:t>价格最低的</w:t>
            </w:r>
            <w:r>
              <w:rPr>
                <w:rFonts w:asciiTheme="minorEastAsia" w:eastAsiaTheme="minorEastAsia" w:hAnsiTheme="minorEastAsia" w:hint="eastAsia"/>
                <w:szCs w:val="21"/>
              </w:rPr>
              <w:t>磋商</w:t>
            </w:r>
            <w:r w:rsidRPr="0030626B">
              <w:rPr>
                <w:rFonts w:asciiTheme="minorEastAsia" w:eastAsiaTheme="minorEastAsia" w:hAnsiTheme="minorEastAsia" w:hint="eastAsia"/>
                <w:szCs w:val="21"/>
              </w:rPr>
              <w:t>报价为评标基准价，其价格分为10分，其他供应商的价格</w:t>
            </w:r>
            <w:proofErr w:type="gramStart"/>
            <w:r w:rsidRPr="0030626B">
              <w:rPr>
                <w:rFonts w:asciiTheme="minorEastAsia" w:eastAsiaTheme="minorEastAsia" w:hAnsiTheme="minorEastAsia" w:hint="eastAsia"/>
                <w:szCs w:val="21"/>
              </w:rPr>
              <w:t>分统一</w:t>
            </w:r>
            <w:proofErr w:type="gramEnd"/>
            <w:r w:rsidRPr="0030626B">
              <w:rPr>
                <w:rFonts w:asciiTheme="minorEastAsia" w:eastAsiaTheme="minorEastAsia" w:hAnsiTheme="minorEastAsia" w:hint="eastAsia"/>
                <w:szCs w:val="21"/>
              </w:rPr>
              <w:t>按照下列公式计算：</w:t>
            </w:r>
            <w:r>
              <w:rPr>
                <w:rFonts w:asciiTheme="minorEastAsia" w:eastAsiaTheme="minorEastAsia" w:hAnsiTheme="minorEastAsia" w:hint="eastAsia"/>
                <w:szCs w:val="21"/>
              </w:rPr>
              <w:t>磋商</w:t>
            </w:r>
            <w:r w:rsidRPr="0030626B">
              <w:rPr>
                <w:rFonts w:asciiTheme="minorEastAsia" w:eastAsiaTheme="minorEastAsia" w:hAnsiTheme="minorEastAsia" w:hint="eastAsia"/>
                <w:szCs w:val="21"/>
              </w:rPr>
              <w:t>报价得分=（评标基准价/</w:t>
            </w:r>
            <w:r>
              <w:rPr>
                <w:rFonts w:asciiTheme="minorEastAsia" w:eastAsiaTheme="minorEastAsia" w:hAnsiTheme="minorEastAsia" w:hint="eastAsia"/>
                <w:szCs w:val="21"/>
              </w:rPr>
              <w:t>磋商</w:t>
            </w:r>
            <w:r w:rsidRPr="0030626B">
              <w:rPr>
                <w:rFonts w:asciiTheme="minorEastAsia" w:eastAsiaTheme="minorEastAsia" w:hAnsiTheme="minorEastAsia" w:hint="eastAsia"/>
                <w:szCs w:val="21"/>
              </w:rPr>
              <w:t>报价）×10×100%</w:t>
            </w:r>
          </w:p>
        </w:tc>
      </w:tr>
      <w:tr w:rsidR="000B3037" w:rsidRPr="0030626B" w:rsidTr="00875DB9">
        <w:trPr>
          <w:trHeight w:val="449"/>
          <w:jc w:val="center"/>
        </w:trPr>
        <w:tc>
          <w:tcPr>
            <w:tcW w:w="9736" w:type="dxa"/>
            <w:gridSpan w:val="4"/>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二、供应</w:t>
            </w:r>
            <w:proofErr w:type="gramStart"/>
            <w:r w:rsidRPr="0030626B">
              <w:rPr>
                <w:rFonts w:asciiTheme="minorEastAsia" w:eastAsiaTheme="minorEastAsia" w:hAnsiTheme="minorEastAsia" w:hint="eastAsia"/>
                <w:szCs w:val="21"/>
              </w:rPr>
              <w:t>商综合</w:t>
            </w:r>
            <w:proofErr w:type="gramEnd"/>
            <w:r w:rsidRPr="0030626B">
              <w:rPr>
                <w:rFonts w:asciiTheme="minorEastAsia" w:eastAsiaTheme="minorEastAsia" w:hAnsiTheme="minorEastAsia" w:hint="eastAsia"/>
                <w:szCs w:val="21"/>
              </w:rPr>
              <w:t>评价（</w:t>
            </w:r>
            <w:r w:rsidRPr="0030626B">
              <w:rPr>
                <w:rFonts w:asciiTheme="minorEastAsia" w:eastAsiaTheme="minorEastAsia" w:hAnsiTheme="minorEastAsia" w:hint="eastAsia"/>
                <w:bCs/>
                <w:szCs w:val="21"/>
              </w:rPr>
              <w:t>45分</w:t>
            </w:r>
            <w:r w:rsidRPr="0030626B">
              <w:rPr>
                <w:rFonts w:asciiTheme="minorEastAsia" w:eastAsiaTheme="minorEastAsia" w:hAnsiTheme="minorEastAsia" w:hint="eastAsia"/>
                <w:szCs w:val="21"/>
              </w:rPr>
              <w:t>）</w:t>
            </w:r>
          </w:p>
        </w:tc>
      </w:tr>
      <w:tr w:rsidR="000B3037" w:rsidRPr="0030626B" w:rsidTr="00875DB9">
        <w:trPr>
          <w:trHeight w:val="449"/>
          <w:jc w:val="center"/>
        </w:trPr>
        <w:tc>
          <w:tcPr>
            <w:tcW w:w="72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2</w:t>
            </w:r>
          </w:p>
        </w:tc>
        <w:tc>
          <w:tcPr>
            <w:tcW w:w="166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bCs/>
                <w:szCs w:val="21"/>
              </w:rPr>
              <w:t>企业综合能力</w:t>
            </w:r>
          </w:p>
        </w:tc>
        <w:tc>
          <w:tcPr>
            <w:tcW w:w="75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bCs/>
                <w:szCs w:val="21"/>
              </w:rPr>
            </w:pPr>
            <w:r w:rsidRPr="0030626B">
              <w:rPr>
                <w:rFonts w:asciiTheme="minorEastAsia" w:eastAsiaTheme="minorEastAsia" w:hAnsiTheme="minorEastAsia" w:hint="eastAsia"/>
                <w:bCs/>
                <w:szCs w:val="21"/>
              </w:rPr>
              <w:t>20分</w:t>
            </w:r>
          </w:p>
        </w:tc>
        <w:tc>
          <w:tcPr>
            <w:tcW w:w="660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pStyle w:val="Default"/>
              <w:rPr>
                <w:rFonts w:asciiTheme="minorEastAsia" w:eastAsiaTheme="minorEastAsia" w:hAnsiTheme="minorEastAsia"/>
                <w:color w:val="auto"/>
                <w:sz w:val="21"/>
                <w:szCs w:val="21"/>
              </w:rPr>
            </w:pPr>
            <w:r w:rsidRPr="0030626B">
              <w:rPr>
                <w:rFonts w:asciiTheme="minorEastAsia" w:eastAsiaTheme="minorEastAsia" w:hAnsiTheme="minorEastAsia"/>
                <w:color w:val="auto"/>
                <w:sz w:val="21"/>
                <w:szCs w:val="21"/>
              </w:rPr>
              <w:t>1</w:t>
            </w:r>
            <w:r w:rsidRPr="0030626B">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供应商</w:t>
            </w:r>
            <w:r w:rsidRPr="0030626B">
              <w:rPr>
                <w:rFonts w:asciiTheme="minorEastAsia" w:eastAsiaTheme="minorEastAsia" w:hAnsiTheme="minorEastAsia" w:hint="eastAsia"/>
                <w:color w:val="auto"/>
                <w:sz w:val="21"/>
                <w:szCs w:val="21"/>
              </w:rPr>
              <w:t>完成过交通工程</w:t>
            </w:r>
            <w:r w:rsidRPr="0030626B">
              <w:rPr>
                <w:rFonts w:asciiTheme="minorEastAsia" w:eastAsiaTheme="minorEastAsia" w:hAnsiTheme="minorEastAsia"/>
                <w:color w:val="auto"/>
                <w:sz w:val="21"/>
                <w:szCs w:val="21"/>
              </w:rPr>
              <w:t>建设</w:t>
            </w:r>
            <w:r w:rsidRPr="0030626B">
              <w:rPr>
                <w:rFonts w:asciiTheme="minorEastAsia" w:eastAsiaTheme="minorEastAsia" w:hAnsiTheme="minorEastAsia" w:hint="eastAsia"/>
                <w:color w:val="auto"/>
                <w:sz w:val="21"/>
                <w:szCs w:val="21"/>
              </w:rPr>
              <w:t>宣传服务总包项目的有一个得2分，本项最高得12分。</w:t>
            </w:r>
          </w:p>
          <w:p w:rsidR="000B3037" w:rsidRPr="0030626B" w:rsidRDefault="000B3037" w:rsidP="00875DB9">
            <w:pPr>
              <w:pStyle w:val="Default"/>
              <w:rPr>
                <w:rFonts w:asciiTheme="minorEastAsia" w:eastAsiaTheme="minorEastAsia" w:hAnsiTheme="minorEastAsia"/>
                <w:color w:val="auto"/>
                <w:sz w:val="21"/>
                <w:szCs w:val="21"/>
              </w:rPr>
            </w:pPr>
            <w:r w:rsidRPr="0030626B">
              <w:rPr>
                <w:rFonts w:asciiTheme="minorEastAsia" w:eastAsiaTheme="minorEastAsia" w:hAnsiTheme="minorEastAsia"/>
                <w:color w:val="auto"/>
                <w:sz w:val="21"/>
                <w:szCs w:val="21"/>
              </w:rPr>
              <w:t>2</w:t>
            </w:r>
            <w:r w:rsidRPr="0030626B">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供应商</w:t>
            </w:r>
            <w:r w:rsidRPr="0030626B">
              <w:rPr>
                <w:rFonts w:asciiTheme="minorEastAsia" w:eastAsiaTheme="minorEastAsia" w:hAnsiTheme="minorEastAsia" w:hint="eastAsia"/>
                <w:color w:val="auto"/>
                <w:sz w:val="21"/>
                <w:szCs w:val="21"/>
              </w:rPr>
              <w:t>承接过的类似宣传服务项目中，项目业绩有获得市级及以上奖项的有1个得1分，省级及以上奖项的有1个得2分，本项最高得6分。</w:t>
            </w:r>
          </w:p>
          <w:p w:rsidR="000B3037" w:rsidRPr="0030626B" w:rsidRDefault="000B3037" w:rsidP="00875DB9">
            <w:pPr>
              <w:pStyle w:val="Default"/>
              <w:rPr>
                <w:rFonts w:asciiTheme="minorEastAsia" w:eastAsiaTheme="minorEastAsia" w:hAnsiTheme="minorEastAsia"/>
                <w:color w:val="auto"/>
                <w:sz w:val="21"/>
                <w:szCs w:val="21"/>
              </w:rPr>
            </w:pPr>
            <w:r w:rsidRPr="0030626B">
              <w:rPr>
                <w:rFonts w:asciiTheme="minorEastAsia" w:eastAsiaTheme="minorEastAsia" w:hAnsiTheme="minorEastAsia" w:hint="eastAsia"/>
                <w:color w:val="auto"/>
                <w:sz w:val="21"/>
                <w:szCs w:val="21"/>
              </w:rPr>
              <w:t>注：提供完整的业绩合同复印件（加盖</w:t>
            </w:r>
            <w:r>
              <w:rPr>
                <w:rFonts w:asciiTheme="minorEastAsia" w:eastAsiaTheme="minorEastAsia" w:hAnsiTheme="minorEastAsia" w:hint="eastAsia"/>
                <w:color w:val="auto"/>
                <w:sz w:val="21"/>
                <w:szCs w:val="21"/>
              </w:rPr>
              <w:t>供应商</w:t>
            </w:r>
            <w:r w:rsidRPr="0030626B">
              <w:rPr>
                <w:rFonts w:asciiTheme="minorEastAsia" w:eastAsiaTheme="minorEastAsia" w:hAnsiTheme="minorEastAsia" w:hint="eastAsia"/>
                <w:color w:val="auto"/>
                <w:sz w:val="21"/>
                <w:szCs w:val="21"/>
              </w:rPr>
              <w:t>公章）和获奖文件复印件（加盖</w:t>
            </w:r>
            <w:r>
              <w:rPr>
                <w:rFonts w:asciiTheme="minorEastAsia" w:eastAsiaTheme="minorEastAsia" w:hAnsiTheme="minorEastAsia" w:hint="eastAsia"/>
                <w:color w:val="auto"/>
                <w:sz w:val="21"/>
                <w:szCs w:val="21"/>
              </w:rPr>
              <w:t>供应商</w:t>
            </w:r>
            <w:r w:rsidRPr="0030626B">
              <w:rPr>
                <w:rFonts w:asciiTheme="minorEastAsia" w:eastAsiaTheme="minorEastAsia" w:hAnsiTheme="minorEastAsia" w:hint="eastAsia"/>
                <w:color w:val="auto"/>
                <w:sz w:val="21"/>
                <w:szCs w:val="21"/>
              </w:rPr>
              <w:t>公章），未提供或提供内容不全的不得分。</w:t>
            </w:r>
          </w:p>
        </w:tc>
      </w:tr>
      <w:tr w:rsidR="000B3037" w:rsidRPr="0030626B" w:rsidTr="00875DB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3</w:t>
            </w:r>
          </w:p>
        </w:tc>
        <w:tc>
          <w:tcPr>
            <w:tcW w:w="166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拟投入本项目的项目负责人（即项目总监）资格能力</w:t>
            </w:r>
          </w:p>
        </w:tc>
        <w:tc>
          <w:tcPr>
            <w:tcW w:w="75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bCs/>
                <w:szCs w:val="21"/>
              </w:rPr>
            </w:pPr>
            <w:r w:rsidRPr="0030626B">
              <w:rPr>
                <w:rFonts w:asciiTheme="minorEastAsia" w:eastAsiaTheme="minorEastAsia" w:hAnsiTheme="minorEastAsia" w:hint="eastAsia"/>
                <w:bCs/>
                <w:szCs w:val="21"/>
              </w:rPr>
              <w:t>14分</w:t>
            </w:r>
          </w:p>
        </w:tc>
        <w:tc>
          <w:tcPr>
            <w:tcW w:w="660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pStyle w:val="Default"/>
              <w:rPr>
                <w:rFonts w:asciiTheme="minorEastAsia" w:eastAsiaTheme="minorEastAsia" w:hAnsiTheme="minorEastAsia"/>
                <w:color w:val="auto"/>
                <w:sz w:val="21"/>
                <w:szCs w:val="21"/>
              </w:rPr>
            </w:pPr>
            <w:r w:rsidRPr="0030626B">
              <w:rPr>
                <w:rFonts w:asciiTheme="minorEastAsia" w:eastAsiaTheme="minorEastAsia" w:hAnsiTheme="minorEastAsia" w:hint="eastAsia"/>
                <w:color w:val="auto"/>
                <w:sz w:val="21"/>
                <w:szCs w:val="21"/>
              </w:rPr>
              <w:t>1、拟投入本项目的项目负责人承担过交通工程</w:t>
            </w:r>
            <w:r w:rsidRPr="0030626B">
              <w:rPr>
                <w:rFonts w:asciiTheme="minorEastAsia" w:eastAsiaTheme="minorEastAsia" w:hAnsiTheme="minorEastAsia"/>
                <w:color w:val="auto"/>
                <w:sz w:val="21"/>
                <w:szCs w:val="21"/>
              </w:rPr>
              <w:t>建设</w:t>
            </w:r>
            <w:r w:rsidRPr="0030626B">
              <w:rPr>
                <w:rFonts w:asciiTheme="minorEastAsia" w:eastAsiaTheme="minorEastAsia" w:hAnsiTheme="minorEastAsia" w:hint="eastAsia"/>
                <w:color w:val="auto"/>
                <w:sz w:val="21"/>
                <w:szCs w:val="21"/>
              </w:rPr>
              <w:t>宣传服务</w:t>
            </w:r>
            <w:proofErr w:type="gramStart"/>
            <w:r w:rsidRPr="0030626B">
              <w:rPr>
                <w:rFonts w:asciiTheme="minorEastAsia" w:eastAsiaTheme="minorEastAsia" w:hAnsiTheme="minorEastAsia" w:hint="eastAsia"/>
                <w:color w:val="auto"/>
                <w:sz w:val="21"/>
                <w:szCs w:val="21"/>
              </w:rPr>
              <w:t>项目项目</w:t>
            </w:r>
            <w:proofErr w:type="gramEnd"/>
            <w:r w:rsidRPr="0030626B">
              <w:rPr>
                <w:rFonts w:asciiTheme="minorEastAsia" w:eastAsiaTheme="minorEastAsia" w:hAnsiTheme="minorEastAsia" w:hint="eastAsia"/>
                <w:color w:val="auto"/>
                <w:sz w:val="21"/>
                <w:szCs w:val="21"/>
              </w:rPr>
              <w:t>负责人业绩的，有一个得2分，本项最高得8分。</w:t>
            </w:r>
          </w:p>
          <w:p w:rsidR="000B3037" w:rsidRPr="0030626B" w:rsidRDefault="000B3037" w:rsidP="00875DB9">
            <w:pPr>
              <w:pStyle w:val="Default"/>
              <w:rPr>
                <w:rFonts w:asciiTheme="minorEastAsia" w:eastAsiaTheme="minorEastAsia" w:hAnsiTheme="minorEastAsia"/>
                <w:color w:val="auto"/>
                <w:sz w:val="21"/>
                <w:szCs w:val="21"/>
              </w:rPr>
            </w:pPr>
            <w:r w:rsidRPr="0030626B">
              <w:rPr>
                <w:rFonts w:asciiTheme="minorEastAsia" w:eastAsiaTheme="minorEastAsia" w:hAnsiTheme="minorEastAsia" w:hint="eastAsia"/>
                <w:color w:val="auto"/>
                <w:sz w:val="21"/>
                <w:szCs w:val="21"/>
              </w:rPr>
              <w:t>2、项目负责人完成过</w:t>
            </w:r>
            <w:proofErr w:type="gramStart"/>
            <w:r w:rsidRPr="0030626B">
              <w:rPr>
                <w:rFonts w:asciiTheme="minorEastAsia" w:eastAsiaTheme="minorEastAsia" w:hAnsiTheme="minorEastAsia" w:hint="eastAsia"/>
                <w:color w:val="auto"/>
                <w:sz w:val="21"/>
                <w:szCs w:val="21"/>
              </w:rPr>
              <w:t>得类似</w:t>
            </w:r>
            <w:proofErr w:type="gramEnd"/>
            <w:r w:rsidRPr="0030626B">
              <w:rPr>
                <w:rFonts w:asciiTheme="minorEastAsia" w:eastAsiaTheme="minorEastAsia" w:hAnsiTheme="minorEastAsia" w:hint="eastAsia"/>
                <w:color w:val="auto"/>
                <w:sz w:val="21"/>
                <w:szCs w:val="21"/>
              </w:rPr>
              <w:t>宣传服务项目获得市级及以上奖项的有1个得1分，获得省级及以上奖项的有1个得2分，本项最高得6分。</w:t>
            </w:r>
          </w:p>
          <w:p w:rsidR="000B3037" w:rsidRPr="0030626B" w:rsidRDefault="000B3037" w:rsidP="00875DB9">
            <w:pPr>
              <w:pStyle w:val="Default"/>
              <w:rPr>
                <w:rFonts w:asciiTheme="minorEastAsia" w:eastAsiaTheme="minorEastAsia" w:hAnsiTheme="minorEastAsia"/>
                <w:color w:val="auto"/>
                <w:sz w:val="21"/>
                <w:szCs w:val="21"/>
              </w:rPr>
            </w:pPr>
            <w:r w:rsidRPr="0030626B">
              <w:rPr>
                <w:rFonts w:asciiTheme="minorEastAsia" w:eastAsiaTheme="minorEastAsia" w:hAnsiTheme="minorEastAsia" w:hint="eastAsia"/>
                <w:color w:val="auto"/>
                <w:sz w:val="21"/>
                <w:szCs w:val="21"/>
              </w:rPr>
              <w:t>注：提供完整的业绩合同复印件（加盖</w:t>
            </w:r>
            <w:r>
              <w:rPr>
                <w:rFonts w:asciiTheme="minorEastAsia" w:eastAsiaTheme="minorEastAsia" w:hAnsiTheme="minorEastAsia" w:hint="eastAsia"/>
                <w:color w:val="auto"/>
                <w:sz w:val="21"/>
                <w:szCs w:val="21"/>
              </w:rPr>
              <w:t>供应商</w:t>
            </w:r>
            <w:r w:rsidRPr="0030626B">
              <w:rPr>
                <w:rFonts w:asciiTheme="minorEastAsia" w:eastAsiaTheme="minorEastAsia" w:hAnsiTheme="minorEastAsia" w:hint="eastAsia"/>
                <w:color w:val="auto"/>
                <w:sz w:val="21"/>
                <w:szCs w:val="21"/>
              </w:rPr>
              <w:t>公章）和获奖文件复印件（加盖</w:t>
            </w:r>
            <w:r>
              <w:rPr>
                <w:rFonts w:asciiTheme="minorEastAsia" w:eastAsiaTheme="minorEastAsia" w:hAnsiTheme="minorEastAsia" w:hint="eastAsia"/>
                <w:color w:val="auto"/>
                <w:sz w:val="21"/>
                <w:szCs w:val="21"/>
              </w:rPr>
              <w:t>供应商</w:t>
            </w:r>
            <w:r w:rsidRPr="0030626B">
              <w:rPr>
                <w:rFonts w:asciiTheme="minorEastAsia" w:eastAsiaTheme="minorEastAsia" w:hAnsiTheme="minorEastAsia" w:hint="eastAsia"/>
                <w:color w:val="auto"/>
                <w:sz w:val="21"/>
                <w:szCs w:val="21"/>
              </w:rPr>
              <w:t>公章），未提供或提供内容不全的不得分。如</w:t>
            </w:r>
            <w:proofErr w:type="gramStart"/>
            <w:r w:rsidRPr="0030626B">
              <w:rPr>
                <w:rFonts w:asciiTheme="minorEastAsia" w:eastAsiaTheme="minorEastAsia" w:hAnsiTheme="minorEastAsia" w:hint="eastAsia"/>
                <w:color w:val="auto"/>
                <w:sz w:val="21"/>
                <w:szCs w:val="21"/>
              </w:rPr>
              <w:t>该业绩</w:t>
            </w:r>
            <w:proofErr w:type="gramEnd"/>
            <w:r w:rsidRPr="0030626B">
              <w:rPr>
                <w:rFonts w:asciiTheme="minorEastAsia" w:eastAsiaTheme="minorEastAsia" w:hAnsiTheme="minorEastAsia" w:hint="eastAsia"/>
                <w:color w:val="auto"/>
                <w:sz w:val="21"/>
                <w:szCs w:val="21"/>
              </w:rPr>
              <w:t>既是</w:t>
            </w:r>
            <w:r>
              <w:rPr>
                <w:rFonts w:asciiTheme="minorEastAsia" w:eastAsiaTheme="minorEastAsia" w:hAnsiTheme="minorEastAsia" w:hint="eastAsia"/>
                <w:color w:val="auto"/>
                <w:sz w:val="21"/>
                <w:szCs w:val="21"/>
              </w:rPr>
              <w:t>供应商</w:t>
            </w:r>
            <w:r w:rsidRPr="0030626B">
              <w:rPr>
                <w:rFonts w:asciiTheme="minorEastAsia" w:eastAsiaTheme="minorEastAsia" w:hAnsiTheme="minorEastAsia" w:hint="eastAsia"/>
                <w:color w:val="auto"/>
                <w:sz w:val="21"/>
                <w:szCs w:val="21"/>
              </w:rPr>
              <w:t>业绩又是项目负责人业绩的，仅计算一次业绩得分。</w:t>
            </w:r>
          </w:p>
        </w:tc>
      </w:tr>
      <w:tr w:rsidR="000B3037" w:rsidRPr="0030626B" w:rsidTr="00875DB9">
        <w:trPr>
          <w:trHeight w:val="2699"/>
          <w:jc w:val="center"/>
        </w:trPr>
        <w:tc>
          <w:tcPr>
            <w:tcW w:w="72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4</w:t>
            </w:r>
          </w:p>
        </w:tc>
        <w:tc>
          <w:tcPr>
            <w:tcW w:w="166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拟投入本项目的其他主要人员资历（5人以上）</w:t>
            </w:r>
          </w:p>
        </w:tc>
        <w:tc>
          <w:tcPr>
            <w:tcW w:w="75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bCs/>
                <w:szCs w:val="21"/>
              </w:rPr>
            </w:pPr>
            <w:r w:rsidRPr="0030626B">
              <w:rPr>
                <w:rFonts w:asciiTheme="minorEastAsia" w:eastAsiaTheme="minorEastAsia" w:hAnsiTheme="minorEastAsia" w:hint="eastAsia"/>
                <w:bCs/>
                <w:szCs w:val="21"/>
              </w:rPr>
              <w:t>11分</w:t>
            </w:r>
          </w:p>
        </w:tc>
        <w:tc>
          <w:tcPr>
            <w:tcW w:w="660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0B3037">
            <w:pPr>
              <w:numPr>
                <w:ilvl w:val="0"/>
                <w:numId w:val="1"/>
              </w:numPr>
              <w:adjustRightInd w:val="0"/>
              <w:spacing w:line="340" w:lineRule="exact"/>
              <w:ind w:right="113"/>
              <w:rPr>
                <w:rFonts w:asciiTheme="minorEastAsia" w:eastAsiaTheme="minorEastAsia" w:hAnsiTheme="minorEastAsia"/>
                <w:bCs/>
                <w:szCs w:val="21"/>
              </w:rPr>
            </w:pPr>
            <w:r w:rsidRPr="0030626B">
              <w:rPr>
                <w:rFonts w:asciiTheme="minorEastAsia" w:eastAsiaTheme="minorEastAsia" w:hAnsiTheme="minorEastAsia" w:hint="eastAsia"/>
                <w:bCs/>
                <w:szCs w:val="21"/>
              </w:rPr>
              <w:t>拟投入本项目团队成员有影像/媒体专业资质者（如摄影记者证、无人机驾驶证等其他证明材料）的</w:t>
            </w:r>
            <w:r w:rsidRPr="0030626B">
              <w:rPr>
                <w:rFonts w:asciiTheme="minorEastAsia" w:eastAsiaTheme="minorEastAsia" w:hAnsiTheme="minorEastAsia" w:hint="eastAsia"/>
                <w:szCs w:val="21"/>
              </w:rPr>
              <w:t>一个得</w:t>
            </w:r>
            <w:r w:rsidRPr="0030626B">
              <w:rPr>
                <w:rFonts w:asciiTheme="minorEastAsia" w:eastAsiaTheme="minorEastAsia" w:hAnsiTheme="minorEastAsia" w:hint="eastAsia"/>
                <w:bCs/>
                <w:szCs w:val="21"/>
              </w:rPr>
              <w:t>1分，</w:t>
            </w:r>
            <w:r w:rsidRPr="0030626B">
              <w:rPr>
                <w:rFonts w:asciiTheme="minorEastAsia" w:eastAsiaTheme="minorEastAsia" w:hAnsiTheme="minorEastAsia" w:hint="eastAsia"/>
                <w:szCs w:val="21"/>
              </w:rPr>
              <w:t>本项最高得</w:t>
            </w:r>
            <w:r w:rsidRPr="0030626B">
              <w:rPr>
                <w:rFonts w:asciiTheme="minorEastAsia" w:eastAsiaTheme="minorEastAsia" w:hAnsiTheme="minorEastAsia" w:hint="eastAsia"/>
                <w:bCs/>
                <w:szCs w:val="21"/>
              </w:rPr>
              <w:t>5分。</w:t>
            </w:r>
          </w:p>
          <w:p w:rsidR="000B3037" w:rsidRPr="0030626B" w:rsidRDefault="000B3037" w:rsidP="000B3037">
            <w:pPr>
              <w:numPr>
                <w:ilvl w:val="0"/>
                <w:numId w:val="1"/>
              </w:numPr>
              <w:adjustRightInd w:val="0"/>
              <w:spacing w:line="340" w:lineRule="exact"/>
              <w:ind w:right="113"/>
              <w:rPr>
                <w:rFonts w:asciiTheme="minorEastAsia" w:eastAsiaTheme="minorEastAsia" w:hAnsiTheme="minorEastAsia"/>
                <w:bCs/>
                <w:szCs w:val="21"/>
              </w:rPr>
            </w:pPr>
            <w:r>
              <w:rPr>
                <w:rFonts w:asciiTheme="minorEastAsia" w:eastAsiaTheme="minorEastAsia" w:hAnsiTheme="minorEastAsia" w:hint="eastAsia"/>
                <w:bCs/>
                <w:szCs w:val="21"/>
              </w:rPr>
              <w:t>供应商</w:t>
            </w:r>
            <w:r w:rsidRPr="0030626B">
              <w:rPr>
                <w:rFonts w:asciiTheme="minorEastAsia" w:eastAsiaTheme="minorEastAsia" w:hAnsiTheme="minorEastAsia" w:hint="eastAsia"/>
                <w:bCs/>
                <w:szCs w:val="21"/>
              </w:rPr>
              <w:t>参与的</w:t>
            </w:r>
            <w:r w:rsidRPr="0030626B">
              <w:rPr>
                <w:rFonts w:asciiTheme="minorEastAsia" w:eastAsiaTheme="minorEastAsia" w:hAnsiTheme="minorEastAsia" w:hint="eastAsia"/>
                <w:szCs w:val="21"/>
              </w:rPr>
              <w:t>高速公路宣传服务项目</w:t>
            </w:r>
            <w:r w:rsidRPr="0030626B">
              <w:rPr>
                <w:rFonts w:asciiTheme="minorEastAsia" w:eastAsiaTheme="minorEastAsia" w:hAnsiTheme="minorEastAsia" w:hint="eastAsia"/>
                <w:bCs/>
                <w:szCs w:val="21"/>
              </w:rPr>
              <w:t>获得过</w:t>
            </w:r>
            <w:r w:rsidRPr="0030626B">
              <w:rPr>
                <w:rFonts w:asciiTheme="minorEastAsia" w:eastAsiaTheme="minorEastAsia" w:hAnsiTheme="minorEastAsia" w:hint="eastAsia"/>
                <w:szCs w:val="21"/>
              </w:rPr>
              <w:t>市级及以上奖项的有1个得1分，获得省级及以上奖项的有1个得2分，本项最高得6分。</w:t>
            </w:r>
          </w:p>
          <w:p w:rsidR="000B3037" w:rsidRPr="0030626B" w:rsidRDefault="000B3037" w:rsidP="00875DB9">
            <w:pPr>
              <w:adjustRightInd w:val="0"/>
              <w:spacing w:line="340" w:lineRule="exact"/>
              <w:ind w:right="113"/>
              <w:rPr>
                <w:rFonts w:asciiTheme="minorEastAsia" w:eastAsiaTheme="minorEastAsia" w:hAnsiTheme="minorEastAsia"/>
                <w:bCs/>
                <w:szCs w:val="21"/>
              </w:rPr>
            </w:pPr>
            <w:r w:rsidRPr="0030626B">
              <w:rPr>
                <w:rFonts w:asciiTheme="minorEastAsia" w:eastAsiaTheme="minorEastAsia" w:hAnsiTheme="minorEastAsia" w:hint="eastAsia"/>
                <w:bCs/>
                <w:szCs w:val="21"/>
                <w:lang w:val="en-GB"/>
              </w:rPr>
              <w:t>注：需提供人员相关资质证书</w:t>
            </w:r>
            <w:r w:rsidRPr="0030626B">
              <w:rPr>
                <w:rFonts w:asciiTheme="minorEastAsia" w:eastAsiaTheme="minorEastAsia" w:hAnsiTheme="minorEastAsia" w:hint="eastAsia"/>
                <w:bCs/>
                <w:szCs w:val="21"/>
              </w:rPr>
              <w:t>原件或扫描件加盖单位公章</w:t>
            </w:r>
            <w:r w:rsidRPr="0030626B">
              <w:rPr>
                <w:rFonts w:asciiTheme="minorEastAsia" w:eastAsiaTheme="minorEastAsia" w:hAnsiTheme="minorEastAsia" w:hint="eastAsia"/>
                <w:bCs/>
                <w:szCs w:val="21"/>
                <w:lang w:val="en-GB"/>
              </w:rPr>
              <w:t>，及本单位</w:t>
            </w:r>
            <w:proofErr w:type="gramStart"/>
            <w:r w:rsidRPr="0030626B">
              <w:rPr>
                <w:rFonts w:asciiTheme="minorEastAsia" w:eastAsiaTheme="minorEastAsia" w:hAnsiTheme="minorEastAsia" w:hint="eastAsia"/>
                <w:bCs/>
                <w:szCs w:val="21"/>
                <w:lang w:val="en-GB"/>
              </w:rPr>
              <w:t>社保证明</w:t>
            </w:r>
            <w:proofErr w:type="gramEnd"/>
            <w:r w:rsidRPr="0030626B">
              <w:rPr>
                <w:rFonts w:asciiTheme="minorEastAsia" w:eastAsiaTheme="minorEastAsia" w:hAnsiTheme="minorEastAsia" w:hint="eastAsia"/>
                <w:bCs/>
                <w:szCs w:val="21"/>
                <w:lang w:val="en-GB"/>
              </w:rPr>
              <w:t>及相关证明材料</w:t>
            </w:r>
            <w:r w:rsidRPr="0030626B">
              <w:rPr>
                <w:rFonts w:asciiTheme="minorEastAsia" w:eastAsiaTheme="minorEastAsia" w:hAnsiTheme="minorEastAsia" w:hint="eastAsia"/>
                <w:szCs w:val="21"/>
              </w:rPr>
              <w:t>。获奖文件复印件（加盖</w:t>
            </w:r>
            <w:r>
              <w:rPr>
                <w:rFonts w:asciiTheme="minorEastAsia" w:eastAsiaTheme="minorEastAsia" w:hAnsiTheme="minorEastAsia" w:hint="eastAsia"/>
                <w:szCs w:val="21"/>
              </w:rPr>
              <w:t>供应商</w:t>
            </w:r>
            <w:r w:rsidRPr="0030626B">
              <w:rPr>
                <w:rFonts w:asciiTheme="minorEastAsia" w:eastAsiaTheme="minorEastAsia" w:hAnsiTheme="minorEastAsia" w:hint="eastAsia"/>
                <w:szCs w:val="21"/>
              </w:rPr>
              <w:t>公章），未提供或提供内容不全的不得分。</w:t>
            </w:r>
          </w:p>
        </w:tc>
      </w:tr>
      <w:tr w:rsidR="000B3037" w:rsidRPr="0030626B" w:rsidTr="00875DB9">
        <w:trPr>
          <w:trHeight w:val="454"/>
          <w:jc w:val="center"/>
        </w:trPr>
        <w:tc>
          <w:tcPr>
            <w:tcW w:w="9736" w:type="dxa"/>
            <w:gridSpan w:val="4"/>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三、技术方案（</w:t>
            </w:r>
            <w:r w:rsidRPr="0030626B">
              <w:rPr>
                <w:rFonts w:asciiTheme="minorEastAsia" w:eastAsiaTheme="minorEastAsia" w:hAnsiTheme="minorEastAsia" w:hint="eastAsia"/>
                <w:bCs/>
                <w:szCs w:val="21"/>
              </w:rPr>
              <w:t>45分</w:t>
            </w:r>
            <w:r w:rsidRPr="0030626B">
              <w:rPr>
                <w:rFonts w:asciiTheme="minorEastAsia" w:eastAsiaTheme="minorEastAsia" w:hAnsiTheme="minorEastAsia" w:hint="eastAsia"/>
                <w:szCs w:val="21"/>
              </w:rPr>
              <w:t>）</w:t>
            </w:r>
          </w:p>
        </w:tc>
      </w:tr>
      <w:tr w:rsidR="000B3037" w:rsidRPr="0030626B" w:rsidTr="00875DB9">
        <w:trPr>
          <w:trHeight w:val="680"/>
          <w:jc w:val="center"/>
        </w:trPr>
        <w:tc>
          <w:tcPr>
            <w:tcW w:w="72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lastRenderedPageBreak/>
              <w:t>5</w:t>
            </w:r>
          </w:p>
        </w:tc>
        <w:tc>
          <w:tcPr>
            <w:tcW w:w="166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对招标项目的理解和总体宣传思路</w:t>
            </w:r>
          </w:p>
        </w:tc>
        <w:tc>
          <w:tcPr>
            <w:tcW w:w="75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9分</w:t>
            </w:r>
          </w:p>
        </w:tc>
        <w:tc>
          <w:tcPr>
            <w:tcW w:w="660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spacing w:line="340" w:lineRule="exact"/>
              <w:ind w:right="113"/>
              <w:rPr>
                <w:rFonts w:asciiTheme="minorEastAsia" w:eastAsiaTheme="minorEastAsia" w:hAnsiTheme="minorEastAsia"/>
                <w:szCs w:val="21"/>
              </w:rPr>
            </w:pPr>
            <w:r w:rsidRPr="0030626B">
              <w:rPr>
                <w:rFonts w:asciiTheme="minorEastAsia" w:eastAsiaTheme="minorEastAsia" w:hAnsiTheme="minorEastAsia" w:hint="eastAsia"/>
                <w:szCs w:val="21"/>
              </w:rPr>
              <w:t>根据各</w:t>
            </w:r>
            <w:r>
              <w:rPr>
                <w:rFonts w:asciiTheme="minorEastAsia" w:eastAsiaTheme="minorEastAsia" w:hAnsiTheme="minorEastAsia" w:hint="eastAsia"/>
                <w:szCs w:val="21"/>
              </w:rPr>
              <w:t>供应商</w:t>
            </w:r>
            <w:r w:rsidRPr="0030626B">
              <w:rPr>
                <w:rFonts w:asciiTheme="minorEastAsia" w:eastAsiaTheme="minorEastAsia" w:hAnsiTheme="minorEastAsia" w:hint="eastAsia"/>
                <w:szCs w:val="21"/>
              </w:rPr>
              <w:t>对本项目功能、重点、难点等理解分析，是否有独到的见解，宣传服务思路是否明确等方面进行评分。</w:t>
            </w:r>
          </w:p>
        </w:tc>
      </w:tr>
      <w:tr w:rsidR="000B3037" w:rsidRPr="0030626B" w:rsidTr="00875DB9">
        <w:trPr>
          <w:trHeight w:val="680"/>
          <w:jc w:val="center"/>
        </w:trPr>
        <w:tc>
          <w:tcPr>
            <w:tcW w:w="72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6</w:t>
            </w:r>
          </w:p>
        </w:tc>
        <w:tc>
          <w:tcPr>
            <w:tcW w:w="166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媒体宣传推广思路</w:t>
            </w:r>
          </w:p>
        </w:tc>
        <w:tc>
          <w:tcPr>
            <w:tcW w:w="75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9分</w:t>
            </w:r>
          </w:p>
        </w:tc>
        <w:tc>
          <w:tcPr>
            <w:tcW w:w="660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spacing w:line="340" w:lineRule="exact"/>
              <w:ind w:right="113"/>
              <w:rPr>
                <w:rFonts w:asciiTheme="minorEastAsia" w:eastAsiaTheme="minorEastAsia" w:hAnsiTheme="minorEastAsia"/>
                <w:szCs w:val="21"/>
              </w:rPr>
            </w:pPr>
            <w:r w:rsidRPr="0030626B">
              <w:rPr>
                <w:rFonts w:asciiTheme="minorEastAsia" w:eastAsiaTheme="minorEastAsia" w:hAnsiTheme="minorEastAsia" w:hint="eastAsia"/>
                <w:szCs w:val="21"/>
              </w:rPr>
              <w:t>根据对传统宣传媒体（杂志、报刊、电视等）及新媒体（网络、</w:t>
            </w:r>
            <w:proofErr w:type="gramStart"/>
            <w:r w:rsidRPr="0030626B">
              <w:rPr>
                <w:rFonts w:asciiTheme="minorEastAsia" w:eastAsiaTheme="minorEastAsia" w:hAnsiTheme="minorEastAsia" w:hint="eastAsia"/>
                <w:szCs w:val="21"/>
              </w:rPr>
              <w:t>微信等</w:t>
            </w:r>
            <w:proofErr w:type="gramEnd"/>
            <w:r w:rsidRPr="0030626B">
              <w:rPr>
                <w:rFonts w:asciiTheme="minorEastAsia" w:eastAsiaTheme="minorEastAsia" w:hAnsiTheme="minorEastAsia" w:hint="eastAsia"/>
                <w:szCs w:val="21"/>
              </w:rPr>
              <w:t>）的宣传思路可行性、创意程度等方面进行评分。</w:t>
            </w:r>
          </w:p>
        </w:tc>
      </w:tr>
      <w:tr w:rsidR="000B3037" w:rsidRPr="0030626B" w:rsidTr="00875DB9">
        <w:trPr>
          <w:trHeight w:val="680"/>
          <w:jc w:val="center"/>
        </w:trPr>
        <w:tc>
          <w:tcPr>
            <w:tcW w:w="72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7</w:t>
            </w:r>
          </w:p>
        </w:tc>
        <w:tc>
          <w:tcPr>
            <w:tcW w:w="166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活动策划思路</w:t>
            </w:r>
          </w:p>
        </w:tc>
        <w:tc>
          <w:tcPr>
            <w:tcW w:w="75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9分</w:t>
            </w:r>
          </w:p>
        </w:tc>
        <w:tc>
          <w:tcPr>
            <w:tcW w:w="660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spacing w:line="340" w:lineRule="exact"/>
              <w:ind w:right="113"/>
              <w:rPr>
                <w:rFonts w:asciiTheme="minorEastAsia" w:eastAsiaTheme="minorEastAsia" w:hAnsiTheme="minorEastAsia"/>
                <w:szCs w:val="21"/>
              </w:rPr>
            </w:pPr>
            <w:r w:rsidRPr="0030626B">
              <w:rPr>
                <w:rFonts w:asciiTheme="minorEastAsia" w:eastAsiaTheme="minorEastAsia" w:hAnsiTheme="minorEastAsia" w:hint="eastAsia"/>
                <w:szCs w:val="21"/>
              </w:rPr>
              <w:t>根据对活动、会议、演出等的策划方案可行性、创意程度等方面进行评分。</w:t>
            </w:r>
          </w:p>
        </w:tc>
      </w:tr>
      <w:tr w:rsidR="000B3037" w:rsidRPr="0030626B" w:rsidTr="00875DB9">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8</w:t>
            </w:r>
          </w:p>
        </w:tc>
        <w:tc>
          <w:tcPr>
            <w:tcW w:w="166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合理化建议</w:t>
            </w:r>
          </w:p>
        </w:tc>
        <w:tc>
          <w:tcPr>
            <w:tcW w:w="75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9分</w:t>
            </w:r>
          </w:p>
        </w:tc>
        <w:tc>
          <w:tcPr>
            <w:tcW w:w="660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spacing w:line="340" w:lineRule="exact"/>
              <w:ind w:right="113"/>
              <w:rPr>
                <w:rFonts w:asciiTheme="minorEastAsia" w:eastAsiaTheme="minorEastAsia" w:hAnsiTheme="minorEastAsia"/>
                <w:szCs w:val="21"/>
              </w:rPr>
            </w:pPr>
            <w:r w:rsidRPr="0030626B">
              <w:rPr>
                <w:rFonts w:asciiTheme="minorEastAsia" w:eastAsiaTheme="minorEastAsia" w:hAnsiTheme="minorEastAsia" w:hint="eastAsia"/>
                <w:szCs w:val="21"/>
              </w:rPr>
              <w:t>根据对本项目提出的其他合理化建议意见等进行评分</w:t>
            </w:r>
          </w:p>
        </w:tc>
      </w:tr>
      <w:tr w:rsidR="000B3037" w:rsidRPr="0030626B" w:rsidTr="00875DB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9</w:t>
            </w:r>
          </w:p>
        </w:tc>
        <w:tc>
          <w:tcPr>
            <w:tcW w:w="166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对质量、进度、后续服务的保证措施及承诺</w:t>
            </w:r>
          </w:p>
        </w:tc>
        <w:tc>
          <w:tcPr>
            <w:tcW w:w="753"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jc w:val="center"/>
              <w:rPr>
                <w:rFonts w:asciiTheme="minorEastAsia" w:eastAsiaTheme="minorEastAsia" w:hAnsiTheme="minorEastAsia"/>
                <w:szCs w:val="21"/>
              </w:rPr>
            </w:pPr>
            <w:r w:rsidRPr="0030626B">
              <w:rPr>
                <w:rFonts w:asciiTheme="minorEastAsia" w:eastAsiaTheme="minorEastAsia" w:hAnsiTheme="minorEastAsia" w:hint="eastAsia"/>
                <w:szCs w:val="21"/>
              </w:rPr>
              <w:t>9分</w:t>
            </w:r>
          </w:p>
        </w:tc>
        <w:tc>
          <w:tcPr>
            <w:tcW w:w="6600" w:type="dxa"/>
            <w:tcBorders>
              <w:top w:val="single" w:sz="4" w:space="0" w:color="auto"/>
              <w:left w:val="single" w:sz="4" w:space="0" w:color="auto"/>
              <w:bottom w:val="single" w:sz="4" w:space="0" w:color="auto"/>
              <w:right w:val="single" w:sz="4" w:space="0" w:color="auto"/>
            </w:tcBorders>
            <w:vAlign w:val="center"/>
          </w:tcPr>
          <w:p w:rsidR="000B3037" w:rsidRPr="0030626B" w:rsidRDefault="000B3037" w:rsidP="00875DB9">
            <w:pPr>
              <w:spacing w:line="340" w:lineRule="exact"/>
              <w:ind w:right="113"/>
              <w:rPr>
                <w:rFonts w:asciiTheme="minorEastAsia" w:eastAsiaTheme="minorEastAsia" w:hAnsiTheme="minorEastAsia"/>
                <w:szCs w:val="21"/>
              </w:rPr>
            </w:pPr>
            <w:r w:rsidRPr="0030626B">
              <w:rPr>
                <w:rFonts w:asciiTheme="minorEastAsia" w:eastAsiaTheme="minorEastAsia" w:hAnsiTheme="minorEastAsia" w:hint="eastAsia"/>
                <w:szCs w:val="21"/>
              </w:rPr>
              <w:t>根据各</w:t>
            </w:r>
            <w:r>
              <w:rPr>
                <w:rFonts w:asciiTheme="minorEastAsia" w:eastAsiaTheme="minorEastAsia" w:hAnsiTheme="minorEastAsia" w:hint="eastAsia"/>
                <w:szCs w:val="21"/>
              </w:rPr>
              <w:t>供应商</w:t>
            </w:r>
            <w:r w:rsidRPr="0030626B">
              <w:rPr>
                <w:rFonts w:asciiTheme="minorEastAsia" w:eastAsiaTheme="minorEastAsia" w:hAnsiTheme="minorEastAsia" w:hint="eastAsia"/>
                <w:szCs w:val="21"/>
              </w:rPr>
              <w:t>对本项目工作质量要求、质量保证措施、工作进度要求、进度保证措施、后续服务等是否切实可行等方面评分。</w:t>
            </w:r>
          </w:p>
        </w:tc>
      </w:tr>
    </w:tbl>
    <w:p w:rsidR="000B3037" w:rsidRDefault="000B3037" w:rsidP="000B3037">
      <w:pPr>
        <w:spacing w:line="360" w:lineRule="auto"/>
        <w:ind w:firstLineChars="200" w:firstLine="422"/>
        <w:rPr>
          <w:rFonts w:ascii="宋体" w:hAnsi="宋体" w:cs="宋体"/>
          <w:b/>
          <w:szCs w:val="21"/>
        </w:rPr>
      </w:pPr>
      <w:r>
        <w:rPr>
          <w:rFonts w:ascii="宋体" w:hAnsi="宋体" w:cs="宋体" w:hint="eastAsia"/>
          <w:b/>
          <w:szCs w:val="21"/>
        </w:rPr>
        <w:t>注：1.服务进场时，若有服务参数未能满足磋商文件要求而中标单位未在偏离表中明确的情况，须无条件按采购人及磋商文件要求整改，否则采购人有权解除合同，同时追究中标人因此造成的损失。</w:t>
      </w:r>
    </w:p>
    <w:p w:rsidR="000B3037" w:rsidRDefault="000B3037" w:rsidP="000B3037">
      <w:pPr>
        <w:spacing w:line="360" w:lineRule="auto"/>
        <w:ind w:firstLineChars="200" w:firstLine="420"/>
        <w:rPr>
          <w:rFonts w:ascii="宋体" w:hAnsi="宋体" w:cs="宋体"/>
        </w:rPr>
      </w:pPr>
      <w:r>
        <w:rPr>
          <w:rFonts w:ascii="宋体" w:hAnsi="宋体" w:cs="宋体" w:hint="eastAsia"/>
        </w:rPr>
        <w:t>2.评分细则中要求提供的证明文件及资料等在响应文件中提供复印件，要求“原件核查”的材料须在磋商截止前将相关原件或公证件随同响应文件一并提交以供评委会核查，过时不予接收，不提供原件核查的不得分。</w:t>
      </w:r>
    </w:p>
    <w:p w:rsidR="000B3037" w:rsidRDefault="000B3037" w:rsidP="000B3037">
      <w:pPr>
        <w:spacing w:line="360" w:lineRule="auto"/>
        <w:ind w:firstLineChars="200" w:firstLine="420"/>
        <w:rPr>
          <w:rFonts w:ascii="宋体" w:hAnsi="宋体" w:cs="宋体"/>
        </w:rPr>
      </w:pPr>
      <w:r>
        <w:rPr>
          <w:rFonts w:ascii="宋体" w:hAnsi="宋体" w:cs="宋体" w:hint="eastAsia"/>
        </w:rPr>
        <w:t>3.评审时，未能按以上要求提供相应证明（复印件和原件、公证件）的，不作为评标依据，不得分。</w:t>
      </w:r>
    </w:p>
    <w:p w:rsidR="000B3037" w:rsidRDefault="000B3037" w:rsidP="000B3037">
      <w:pPr>
        <w:spacing w:line="360" w:lineRule="auto"/>
        <w:ind w:firstLineChars="200" w:firstLine="420"/>
        <w:rPr>
          <w:rFonts w:ascii="宋体" w:hAnsi="宋体" w:cs="宋体"/>
          <w:szCs w:val="21"/>
        </w:rPr>
      </w:pPr>
      <w:r>
        <w:rPr>
          <w:rFonts w:ascii="宋体" w:hAnsi="宋体" w:cs="宋体" w:hint="eastAsia"/>
          <w:szCs w:val="21"/>
        </w:rPr>
        <w:t>3.供应商按评分细则所有得分项目均视为对本次招标的承诺，中标后均作为合同的组成部分。</w:t>
      </w:r>
    </w:p>
    <w:p w:rsidR="000B3037" w:rsidRDefault="000B3037" w:rsidP="000B3037">
      <w:pPr>
        <w:spacing w:line="360" w:lineRule="auto"/>
        <w:ind w:firstLineChars="200" w:firstLine="420"/>
        <w:rPr>
          <w:rFonts w:ascii="宋体" w:hAnsi="宋体" w:cs="宋体"/>
          <w:szCs w:val="21"/>
        </w:rPr>
      </w:pPr>
      <w:r>
        <w:rPr>
          <w:rFonts w:ascii="宋体" w:hAnsi="宋体" w:cs="宋体" w:hint="eastAsia"/>
          <w:szCs w:val="21"/>
        </w:rPr>
        <w:t>4.为便于评分，请供应商按评分表样式，逐条列出证明材料所在页码，格式自定。</w:t>
      </w:r>
    </w:p>
    <w:p w:rsidR="000B3037" w:rsidRDefault="000B3037" w:rsidP="000B3037">
      <w:pPr>
        <w:rPr>
          <w:rFonts w:ascii="宋体" w:hAnsi="宋体" w:cs="宋体"/>
        </w:rPr>
      </w:pPr>
      <w:r>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4806"/>
        <w:gridCol w:w="2896"/>
      </w:tblGrid>
      <w:tr w:rsidR="000B3037" w:rsidTr="00875DB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0B3037" w:rsidRDefault="000B3037" w:rsidP="00875DB9">
            <w:pPr>
              <w:rPr>
                <w:rFonts w:ascii="宋体" w:hAnsi="宋体" w:cs="宋体"/>
                <w:szCs w:val="21"/>
              </w:rPr>
            </w:pPr>
            <w:r>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tcPr>
          <w:p w:rsidR="000B3037" w:rsidRDefault="000B3037" w:rsidP="00875DB9">
            <w:pPr>
              <w:rPr>
                <w:rFonts w:ascii="宋体" w:hAnsi="宋体" w:cs="宋体"/>
                <w:szCs w:val="21"/>
              </w:rPr>
            </w:pPr>
            <w:r>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tcPr>
          <w:p w:rsidR="000B3037" w:rsidRDefault="000B3037" w:rsidP="00875DB9">
            <w:pPr>
              <w:rPr>
                <w:rFonts w:ascii="宋体" w:hAnsi="宋体" w:cs="宋体"/>
                <w:szCs w:val="21"/>
              </w:rPr>
            </w:pPr>
            <w:r>
              <w:rPr>
                <w:rFonts w:ascii="宋体" w:hAnsi="宋体" w:cs="宋体" w:hint="eastAsia"/>
                <w:szCs w:val="21"/>
              </w:rPr>
              <w:t>备注</w:t>
            </w:r>
          </w:p>
        </w:tc>
      </w:tr>
      <w:tr w:rsidR="000B3037" w:rsidTr="00875DB9">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tcPr>
          <w:p w:rsidR="000B3037" w:rsidRDefault="000B3037" w:rsidP="00875DB9">
            <w:pPr>
              <w:spacing w:line="360" w:lineRule="auto"/>
              <w:jc w:val="center"/>
              <w:rPr>
                <w:rFonts w:ascii="宋体" w:hAnsi="宋体" w:cs="宋体"/>
                <w:szCs w:val="21"/>
              </w:rPr>
            </w:pPr>
            <w:r>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0B3037" w:rsidRDefault="000B3037" w:rsidP="00875DB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0B3037" w:rsidRDefault="000B3037" w:rsidP="00875DB9">
            <w:pPr>
              <w:spacing w:line="360" w:lineRule="auto"/>
              <w:rPr>
                <w:rFonts w:ascii="宋体" w:hAnsi="宋体" w:cs="宋体"/>
                <w:szCs w:val="21"/>
              </w:rPr>
            </w:pPr>
            <w:r>
              <w:rPr>
                <w:rFonts w:ascii="宋体" w:hAnsi="宋体" w:cs="宋体" w:hint="eastAsia"/>
                <w:szCs w:val="21"/>
              </w:rPr>
              <w:t>见响应文件        页</w:t>
            </w:r>
          </w:p>
        </w:tc>
      </w:tr>
      <w:tr w:rsidR="000B3037" w:rsidTr="00875DB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0B3037" w:rsidRDefault="000B3037" w:rsidP="00875DB9">
            <w:pPr>
              <w:spacing w:line="360" w:lineRule="auto"/>
              <w:jc w:val="center"/>
              <w:rPr>
                <w:rFonts w:ascii="宋体" w:hAnsi="宋体" w:cs="宋体"/>
                <w:szCs w:val="21"/>
              </w:rPr>
            </w:pPr>
            <w:r>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0B3037" w:rsidRDefault="000B3037" w:rsidP="00875DB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0B3037" w:rsidRDefault="000B3037" w:rsidP="00875DB9">
            <w:pPr>
              <w:spacing w:line="360" w:lineRule="auto"/>
              <w:rPr>
                <w:rFonts w:ascii="宋体" w:hAnsi="宋体" w:cs="宋体"/>
                <w:szCs w:val="21"/>
              </w:rPr>
            </w:pPr>
            <w:r>
              <w:rPr>
                <w:rFonts w:ascii="宋体" w:hAnsi="宋体" w:cs="宋体" w:hint="eastAsia"/>
                <w:szCs w:val="21"/>
              </w:rPr>
              <w:t>见响应文件        页</w:t>
            </w:r>
          </w:p>
        </w:tc>
      </w:tr>
      <w:tr w:rsidR="000B3037" w:rsidTr="00875DB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0B3037" w:rsidRDefault="000B3037" w:rsidP="00875DB9">
            <w:pPr>
              <w:spacing w:line="360" w:lineRule="auto"/>
              <w:jc w:val="center"/>
              <w:rPr>
                <w:rFonts w:ascii="宋体" w:hAnsi="宋体" w:cs="宋体"/>
                <w:szCs w:val="21"/>
              </w:rPr>
            </w:pPr>
            <w:r>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0B3037" w:rsidRDefault="000B3037" w:rsidP="00875DB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0B3037" w:rsidRDefault="000B3037" w:rsidP="00875DB9">
            <w:pPr>
              <w:spacing w:line="360" w:lineRule="auto"/>
              <w:rPr>
                <w:rFonts w:ascii="宋体" w:hAnsi="宋体" w:cs="宋体"/>
                <w:szCs w:val="21"/>
              </w:rPr>
            </w:pPr>
            <w:r>
              <w:rPr>
                <w:rFonts w:ascii="宋体" w:hAnsi="宋体" w:cs="宋体" w:hint="eastAsia"/>
                <w:szCs w:val="21"/>
              </w:rPr>
              <w:t>见响应文件        页</w:t>
            </w:r>
          </w:p>
        </w:tc>
      </w:tr>
      <w:tr w:rsidR="000B3037" w:rsidTr="00875DB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0B3037" w:rsidRDefault="000B3037" w:rsidP="00875DB9">
            <w:pPr>
              <w:spacing w:line="360" w:lineRule="auto"/>
              <w:jc w:val="center"/>
              <w:rPr>
                <w:rFonts w:ascii="宋体" w:hAnsi="宋体" w:cs="宋体"/>
                <w:szCs w:val="21"/>
              </w:rPr>
            </w:pPr>
            <w:r>
              <w:rPr>
                <w:rFonts w:ascii="宋体" w:hAnsi="宋体" w:cs="宋体" w:hint="eastAsia"/>
                <w:szCs w:val="21"/>
              </w:rPr>
              <w:t>4</w:t>
            </w:r>
          </w:p>
        </w:tc>
        <w:tc>
          <w:tcPr>
            <w:tcW w:w="4806" w:type="dxa"/>
            <w:tcBorders>
              <w:top w:val="single" w:sz="4" w:space="0" w:color="auto"/>
              <w:left w:val="single" w:sz="4" w:space="0" w:color="auto"/>
              <w:bottom w:val="single" w:sz="4" w:space="0" w:color="auto"/>
              <w:right w:val="single" w:sz="4" w:space="0" w:color="auto"/>
            </w:tcBorders>
            <w:vAlign w:val="center"/>
          </w:tcPr>
          <w:p w:rsidR="000B3037" w:rsidRDefault="000B3037" w:rsidP="00875DB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0B3037" w:rsidRDefault="000B3037" w:rsidP="00875DB9">
            <w:pPr>
              <w:spacing w:line="360" w:lineRule="auto"/>
              <w:rPr>
                <w:rFonts w:ascii="宋体" w:hAnsi="宋体" w:cs="宋体"/>
                <w:szCs w:val="21"/>
              </w:rPr>
            </w:pPr>
            <w:r>
              <w:rPr>
                <w:rFonts w:ascii="宋体" w:hAnsi="宋体" w:cs="宋体" w:hint="eastAsia"/>
                <w:szCs w:val="21"/>
              </w:rPr>
              <w:t>见响应文件        页</w:t>
            </w:r>
          </w:p>
        </w:tc>
      </w:tr>
    </w:tbl>
    <w:p w:rsidR="001669F5" w:rsidRDefault="001669F5"/>
    <w:sectPr w:rsidR="001669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037" w:rsidRDefault="000B3037" w:rsidP="000B3037">
      <w:r>
        <w:separator/>
      </w:r>
    </w:p>
  </w:endnote>
  <w:endnote w:type="continuationSeparator" w:id="0">
    <w:p w:rsidR="000B3037" w:rsidRDefault="000B3037" w:rsidP="000B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037" w:rsidRDefault="000B3037" w:rsidP="000B3037">
      <w:r>
        <w:separator/>
      </w:r>
    </w:p>
  </w:footnote>
  <w:footnote w:type="continuationSeparator" w:id="0">
    <w:p w:rsidR="000B3037" w:rsidRDefault="000B3037" w:rsidP="000B3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062E"/>
    <w:multiLevelType w:val="singleLevel"/>
    <w:tmpl w:val="076C062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66"/>
    <w:rsid w:val="000B3037"/>
    <w:rsid w:val="001669F5"/>
    <w:rsid w:val="005A6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0B3037"/>
    <w:pPr>
      <w:widowControl w:val="0"/>
      <w:jc w:val="both"/>
    </w:pPr>
    <w:rPr>
      <w:rFonts w:ascii="Calibri" w:eastAsia="宋体" w:hAnsi="Calibri" w:cs="Times New Roman"/>
      <w:szCs w:val="24"/>
    </w:rPr>
  </w:style>
  <w:style w:type="paragraph" w:styleId="2">
    <w:name w:val="heading 2"/>
    <w:basedOn w:val="a"/>
    <w:next w:val="a"/>
    <w:link w:val="2Char"/>
    <w:qFormat/>
    <w:rsid w:val="000B3037"/>
    <w:pPr>
      <w:keepNext/>
      <w:jc w:val="center"/>
      <w:outlineLvl w:val="1"/>
    </w:pPr>
    <w:rPr>
      <w:rFonts w:ascii="楷体_GB2312" w:eastAsia="楷体_GB2312" w:hint="eastAsia"/>
      <w:b/>
      <w:sz w:val="28"/>
      <w:szCs w:val="28"/>
    </w:rPr>
  </w:style>
  <w:style w:type="paragraph" w:styleId="3">
    <w:name w:val="heading 3"/>
    <w:basedOn w:val="a"/>
    <w:next w:val="a"/>
    <w:link w:val="3Char"/>
    <w:uiPriority w:val="9"/>
    <w:semiHidden/>
    <w:unhideWhenUsed/>
    <w:qFormat/>
    <w:rsid w:val="000B30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0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3037"/>
    <w:rPr>
      <w:sz w:val="18"/>
      <w:szCs w:val="18"/>
    </w:rPr>
  </w:style>
  <w:style w:type="paragraph" w:styleId="a4">
    <w:name w:val="footer"/>
    <w:basedOn w:val="a"/>
    <w:link w:val="Char0"/>
    <w:uiPriority w:val="99"/>
    <w:unhideWhenUsed/>
    <w:rsid w:val="000B3037"/>
    <w:pPr>
      <w:tabs>
        <w:tab w:val="center" w:pos="4153"/>
        <w:tab w:val="right" w:pos="8306"/>
      </w:tabs>
      <w:snapToGrid w:val="0"/>
      <w:jc w:val="left"/>
    </w:pPr>
    <w:rPr>
      <w:sz w:val="18"/>
      <w:szCs w:val="18"/>
    </w:rPr>
  </w:style>
  <w:style w:type="character" w:customStyle="1" w:styleId="Char0">
    <w:name w:val="页脚 Char"/>
    <w:basedOn w:val="a0"/>
    <w:link w:val="a4"/>
    <w:uiPriority w:val="99"/>
    <w:rsid w:val="000B3037"/>
    <w:rPr>
      <w:sz w:val="18"/>
      <w:szCs w:val="18"/>
    </w:rPr>
  </w:style>
  <w:style w:type="character" w:customStyle="1" w:styleId="2Char">
    <w:name w:val="标题 2 Char"/>
    <w:basedOn w:val="a0"/>
    <w:link w:val="2"/>
    <w:qFormat/>
    <w:rsid w:val="000B3037"/>
    <w:rPr>
      <w:rFonts w:ascii="楷体_GB2312" w:eastAsia="楷体_GB2312" w:hAnsi="Calibri" w:cs="Times New Roman"/>
      <w:b/>
      <w:sz w:val="28"/>
      <w:szCs w:val="28"/>
    </w:rPr>
  </w:style>
  <w:style w:type="paragraph" w:customStyle="1" w:styleId="Default">
    <w:name w:val="Default"/>
    <w:qFormat/>
    <w:rsid w:val="000B3037"/>
    <w:pPr>
      <w:widowControl w:val="0"/>
      <w:autoSpaceDE w:val="0"/>
      <w:autoSpaceDN w:val="0"/>
      <w:adjustRightInd w:val="0"/>
    </w:pPr>
    <w:rPr>
      <w:rFonts w:ascii="宋体" w:eastAsia="宋体" w:hAnsi="Calibri" w:cs="宋体"/>
      <w:color w:val="000000"/>
      <w:kern w:val="0"/>
      <w:sz w:val="24"/>
      <w:szCs w:val="24"/>
    </w:rPr>
  </w:style>
  <w:style w:type="character" w:customStyle="1" w:styleId="3Char">
    <w:name w:val="标题 3 Char"/>
    <w:basedOn w:val="a0"/>
    <w:link w:val="3"/>
    <w:uiPriority w:val="9"/>
    <w:semiHidden/>
    <w:rsid w:val="000B3037"/>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0B3037"/>
    <w:pPr>
      <w:widowControl w:val="0"/>
      <w:jc w:val="both"/>
    </w:pPr>
    <w:rPr>
      <w:rFonts w:ascii="Calibri" w:eastAsia="宋体" w:hAnsi="Calibri" w:cs="Times New Roman"/>
      <w:szCs w:val="24"/>
    </w:rPr>
  </w:style>
  <w:style w:type="paragraph" w:styleId="2">
    <w:name w:val="heading 2"/>
    <w:basedOn w:val="a"/>
    <w:next w:val="a"/>
    <w:link w:val="2Char"/>
    <w:qFormat/>
    <w:rsid w:val="000B3037"/>
    <w:pPr>
      <w:keepNext/>
      <w:jc w:val="center"/>
      <w:outlineLvl w:val="1"/>
    </w:pPr>
    <w:rPr>
      <w:rFonts w:ascii="楷体_GB2312" w:eastAsia="楷体_GB2312" w:hint="eastAsia"/>
      <w:b/>
      <w:sz w:val="28"/>
      <w:szCs w:val="28"/>
    </w:rPr>
  </w:style>
  <w:style w:type="paragraph" w:styleId="3">
    <w:name w:val="heading 3"/>
    <w:basedOn w:val="a"/>
    <w:next w:val="a"/>
    <w:link w:val="3Char"/>
    <w:uiPriority w:val="9"/>
    <w:semiHidden/>
    <w:unhideWhenUsed/>
    <w:qFormat/>
    <w:rsid w:val="000B30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0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3037"/>
    <w:rPr>
      <w:sz w:val="18"/>
      <w:szCs w:val="18"/>
    </w:rPr>
  </w:style>
  <w:style w:type="paragraph" w:styleId="a4">
    <w:name w:val="footer"/>
    <w:basedOn w:val="a"/>
    <w:link w:val="Char0"/>
    <w:uiPriority w:val="99"/>
    <w:unhideWhenUsed/>
    <w:rsid w:val="000B3037"/>
    <w:pPr>
      <w:tabs>
        <w:tab w:val="center" w:pos="4153"/>
        <w:tab w:val="right" w:pos="8306"/>
      </w:tabs>
      <w:snapToGrid w:val="0"/>
      <w:jc w:val="left"/>
    </w:pPr>
    <w:rPr>
      <w:sz w:val="18"/>
      <w:szCs w:val="18"/>
    </w:rPr>
  </w:style>
  <w:style w:type="character" w:customStyle="1" w:styleId="Char0">
    <w:name w:val="页脚 Char"/>
    <w:basedOn w:val="a0"/>
    <w:link w:val="a4"/>
    <w:uiPriority w:val="99"/>
    <w:rsid w:val="000B3037"/>
    <w:rPr>
      <w:sz w:val="18"/>
      <w:szCs w:val="18"/>
    </w:rPr>
  </w:style>
  <w:style w:type="character" w:customStyle="1" w:styleId="2Char">
    <w:name w:val="标题 2 Char"/>
    <w:basedOn w:val="a0"/>
    <w:link w:val="2"/>
    <w:qFormat/>
    <w:rsid w:val="000B3037"/>
    <w:rPr>
      <w:rFonts w:ascii="楷体_GB2312" w:eastAsia="楷体_GB2312" w:hAnsi="Calibri" w:cs="Times New Roman"/>
      <w:b/>
      <w:sz w:val="28"/>
      <w:szCs w:val="28"/>
    </w:rPr>
  </w:style>
  <w:style w:type="paragraph" w:customStyle="1" w:styleId="Default">
    <w:name w:val="Default"/>
    <w:qFormat/>
    <w:rsid w:val="000B3037"/>
    <w:pPr>
      <w:widowControl w:val="0"/>
      <w:autoSpaceDE w:val="0"/>
      <w:autoSpaceDN w:val="0"/>
      <w:adjustRightInd w:val="0"/>
    </w:pPr>
    <w:rPr>
      <w:rFonts w:ascii="宋体" w:eastAsia="宋体" w:hAnsi="Calibri" w:cs="宋体"/>
      <w:color w:val="000000"/>
      <w:kern w:val="0"/>
      <w:sz w:val="24"/>
      <w:szCs w:val="24"/>
    </w:rPr>
  </w:style>
  <w:style w:type="character" w:customStyle="1" w:styleId="3Char">
    <w:name w:val="标题 3 Char"/>
    <w:basedOn w:val="a0"/>
    <w:link w:val="3"/>
    <w:uiPriority w:val="9"/>
    <w:semiHidden/>
    <w:rsid w:val="000B3037"/>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2021-07-22T02:07:00Z</dcterms:created>
  <dcterms:modified xsi:type="dcterms:W3CDTF">2021-07-22T02:08:00Z</dcterms:modified>
</cp:coreProperties>
</file>