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037" w:rsidRDefault="000B3037" w:rsidP="000B3037">
      <w:pPr>
        <w:snapToGrid w:val="0"/>
        <w:spacing w:line="400" w:lineRule="exact"/>
        <w:jc w:val="center"/>
        <w:rPr>
          <w:rFonts w:ascii="宋体" w:hAnsi="宋体" w:cs="宋体"/>
          <w:b/>
          <w:bCs/>
          <w:sz w:val="30"/>
          <w:szCs w:val="30"/>
        </w:rPr>
      </w:pPr>
      <w:r>
        <w:fldChar w:fldCharType="begin"/>
      </w:r>
      <w:r>
        <w:instrText xml:space="preserve"> HYPERLINK \l "_Toc214163640" </w:instrText>
      </w:r>
      <w:r>
        <w:fldChar w:fldCharType="separate"/>
      </w:r>
      <w:r>
        <w:rPr>
          <w:rFonts w:ascii="宋体" w:hAnsi="宋体" w:cs="宋体" w:hint="eastAsia"/>
          <w:b/>
          <w:bCs/>
          <w:sz w:val="30"/>
          <w:szCs w:val="30"/>
        </w:rPr>
        <w:t>评审办法和</w:t>
      </w:r>
      <w:r>
        <w:rPr>
          <w:rFonts w:ascii="宋体" w:hAnsi="宋体" w:cs="宋体"/>
          <w:b/>
          <w:bCs/>
          <w:sz w:val="30"/>
          <w:szCs w:val="30"/>
        </w:rPr>
        <w:fldChar w:fldCharType="end"/>
      </w:r>
      <w:r>
        <w:rPr>
          <w:rFonts w:ascii="宋体" w:hAnsi="宋体" w:cs="宋体" w:hint="eastAsia"/>
          <w:b/>
          <w:bCs/>
          <w:sz w:val="30"/>
          <w:szCs w:val="30"/>
        </w:rPr>
        <w:t>评审标准</w:t>
      </w:r>
    </w:p>
    <w:p w:rsidR="00872F30" w:rsidRDefault="00872F30" w:rsidP="00872F30">
      <w:pPr>
        <w:pStyle w:val="2"/>
        <w:jc w:val="both"/>
        <w:rPr>
          <w:rFonts w:ascii="宋体" w:eastAsia="宋体" w:hAnsi="宋体" w:cs="宋体" w:hint="default"/>
          <w:sz w:val="21"/>
          <w:szCs w:val="21"/>
        </w:rPr>
      </w:pPr>
      <w:r>
        <w:rPr>
          <w:rFonts w:ascii="宋体" w:eastAsia="宋体" w:hAnsi="宋体" w:cs="宋体"/>
          <w:sz w:val="21"/>
          <w:szCs w:val="21"/>
        </w:rPr>
        <w:t>一、评审办法</w:t>
      </w:r>
    </w:p>
    <w:p w:rsidR="00872F30" w:rsidRDefault="00872F30" w:rsidP="00872F30">
      <w:pPr>
        <w:spacing w:line="400" w:lineRule="exact"/>
        <w:ind w:firstLineChars="200" w:firstLine="420"/>
        <w:rPr>
          <w:rFonts w:ascii="宋体" w:hAnsi="宋体"/>
          <w:szCs w:val="21"/>
        </w:rPr>
      </w:pPr>
      <w:r>
        <w:rPr>
          <w:rFonts w:ascii="宋体" w:hAnsi="宋体" w:cs="宋体" w:hint="eastAsia"/>
          <w:szCs w:val="21"/>
        </w:rPr>
        <w:t>本次招标采用综合评分法，将供应商资质条件、对本项目的研究、价格等各项因素作为评价的基础，综合评选出最佳方案。每一供应商的最终得分为所有招标小组成员给其评分的算数平均值（保留2位小数）。评标委员按照评标标准评定供应商的分值,按最终评审分由高到低顺序排列。得分相同的，按磋商</w:t>
      </w:r>
      <w:r>
        <w:rPr>
          <w:rFonts w:ascii="宋体" w:hAnsi="宋体" w:cs="宋体" w:hint="eastAsia"/>
          <w:kern w:val="0"/>
          <w:szCs w:val="21"/>
        </w:rPr>
        <w:t>最后报价</w:t>
      </w:r>
      <w:r>
        <w:rPr>
          <w:rFonts w:ascii="宋体" w:hAnsi="宋体" w:cs="宋体" w:hint="eastAsia"/>
          <w:szCs w:val="21"/>
        </w:rPr>
        <w:t>由低到高顺序排列。得分且磋商报价相同的，由采购人现场抽签决定第一中标候选人。磋商小组共同认定的客观分评审部分，需磋商小组成员共同讨论、独立打分，存在不同意见的，磋商小组成员分别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rPr>
        <w:t>作出</w:t>
      </w:r>
      <w:proofErr w:type="gramEnd"/>
      <w:r>
        <w:rPr>
          <w:rFonts w:ascii="宋体" w:hAnsi="宋体" w:cs="宋体" w:hint="eastAsia"/>
          <w:szCs w:val="21"/>
        </w:rPr>
        <w:t>书面说明。</w:t>
      </w:r>
    </w:p>
    <w:p w:rsidR="00872F30" w:rsidRDefault="00872F30" w:rsidP="00872F30">
      <w:pPr>
        <w:pStyle w:val="2"/>
        <w:spacing w:line="360" w:lineRule="auto"/>
        <w:jc w:val="both"/>
        <w:rPr>
          <w:rFonts w:ascii="宋体" w:eastAsia="宋体" w:hAnsi="宋体" w:cs="宋体" w:hint="default"/>
          <w:sz w:val="21"/>
          <w:szCs w:val="21"/>
        </w:rPr>
      </w:pPr>
      <w:r>
        <w:rPr>
          <w:rFonts w:ascii="宋体" w:eastAsia="宋体" w:hAnsi="宋体" w:cs="宋体"/>
          <w:sz w:val="21"/>
          <w:szCs w:val="21"/>
        </w:rPr>
        <w:t>二、评分细则</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735"/>
        <w:gridCol w:w="5560"/>
        <w:gridCol w:w="1855"/>
      </w:tblGrid>
      <w:tr w:rsidR="00872F30" w:rsidTr="006321C6">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评分因素</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评分标准</w:t>
            </w:r>
          </w:p>
        </w:tc>
        <w:tc>
          <w:tcPr>
            <w:tcW w:w="1855"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备注</w:t>
            </w:r>
          </w:p>
        </w:tc>
      </w:tr>
      <w:tr w:rsidR="00872F30" w:rsidTr="006321C6">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价格分（35分）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rPr>
                <w:rFonts w:ascii="宋体" w:hAnsi="宋体" w:cs="宋体"/>
                <w:szCs w:val="21"/>
              </w:rPr>
            </w:pPr>
            <w:r>
              <w:rPr>
                <w:rFonts w:ascii="宋体" w:hAnsi="宋体" w:cs="宋体" w:hint="eastAsia"/>
                <w:szCs w:val="21"/>
              </w:rPr>
              <w:t>满足磋商文件要求且响应文件最后磋商报价最低的磋商报价为磋商基准价，其价格分为满分，其他供应商的价格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872F30" w:rsidRDefault="00872F30" w:rsidP="006321C6">
            <w:pPr>
              <w:contextualSpacing/>
              <w:jc w:val="left"/>
              <w:rPr>
                <w:rFonts w:ascii="宋体" w:hAnsi="宋体"/>
                <w:szCs w:val="21"/>
              </w:rPr>
            </w:pPr>
            <w:r>
              <w:rPr>
                <w:rFonts w:ascii="宋体" w:hAnsi="宋体" w:cs="宋体" w:hint="eastAsia"/>
                <w:szCs w:val="21"/>
              </w:rPr>
              <w:t>磋商报价得分=（磋商基准价/最后磋商报价）×35</w:t>
            </w:r>
          </w:p>
        </w:tc>
        <w:tc>
          <w:tcPr>
            <w:tcW w:w="1855" w:type="dxa"/>
            <w:tcBorders>
              <w:top w:val="single" w:sz="4" w:space="0" w:color="auto"/>
              <w:left w:val="single" w:sz="4" w:space="0" w:color="auto"/>
              <w:bottom w:val="single" w:sz="4" w:space="0" w:color="auto"/>
              <w:right w:val="single" w:sz="4" w:space="0" w:color="auto"/>
            </w:tcBorders>
          </w:tcPr>
          <w:p w:rsidR="00872F30" w:rsidRDefault="00872F30" w:rsidP="006321C6">
            <w:pPr>
              <w:contextualSpacing/>
              <w:rPr>
                <w:rFonts w:ascii="宋体" w:hAnsi="宋体" w:cs="宋体"/>
                <w:szCs w:val="21"/>
              </w:rPr>
            </w:pPr>
          </w:p>
        </w:tc>
      </w:tr>
      <w:tr w:rsidR="00872F30" w:rsidTr="006321C6">
        <w:trPr>
          <w:trHeight w:val="680"/>
          <w:jc w:val="center"/>
        </w:trPr>
        <w:tc>
          <w:tcPr>
            <w:tcW w:w="708" w:type="dxa"/>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2</w:t>
            </w:r>
          </w:p>
        </w:tc>
        <w:tc>
          <w:tcPr>
            <w:tcW w:w="1735" w:type="dxa"/>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cs="宋体"/>
                <w:kern w:val="0"/>
                <w:szCs w:val="21"/>
              </w:rPr>
            </w:pPr>
            <w:r>
              <w:rPr>
                <w:rFonts w:ascii="宋体" w:hAnsi="宋体" w:cs="宋体" w:hint="eastAsia"/>
                <w:kern w:val="0"/>
                <w:szCs w:val="21"/>
              </w:rPr>
              <w:t>企业业绩</w:t>
            </w:r>
          </w:p>
          <w:p w:rsidR="00872F30" w:rsidRDefault="00872F30" w:rsidP="006321C6">
            <w:pPr>
              <w:contextualSpacing/>
              <w:jc w:val="center"/>
              <w:rPr>
                <w:rFonts w:ascii="宋体" w:hAnsi="宋体" w:cs="宋体"/>
                <w:b/>
                <w:szCs w:val="21"/>
              </w:rPr>
            </w:pPr>
            <w:r>
              <w:rPr>
                <w:rFonts w:ascii="宋体" w:hAnsi="宋体" w:cs="宋体" w:hint="eastAsia"/>
                <w:kern w:val="0"/>
                <w:szCs w:val="21"/>
              </w:rPr>
              <w:t>（7分）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rPr>
                <w:rFonts w:ascii="宋体" w:hAnsi="宋体" w:cs="宋体"/>
                <w:kern w:val="0"/>
                <w:szCs w:val="21"/>
              </w:rPr>
            </w:pPr>
            <w:r>
              <w:rPr>
                <w:rFonts w:ascii="宋体" w:hAnsi="宋体" w:cs="宋体" w:hint="eastAsia"/>
                <w:kern w:val="0"/>
                <w:szCs w:val="21"/>
              </w:rPr>
              <w:t>1.供应商具有2018年7月1日以来国内单项合同金额100万元及以上的烟火检测类业绩，每提供一个合同得2分，最多得4分。</w:t>
            </w:r>
          </w:p>
          <w:p w:rsidR="00872F30" w:rsidRDefault="00872F30" w:rsidP="006321C6">
            <w:pPr>
              <w:contextualSpacing/>
              <w:rPr>
                <w:rFonts w:ascii="宋体" w:hAnsi="宋体" w:cs="宋体"/>
                <w:kern w:val="0"/>
                <w:szCs w:val="21"/>
              </w:rPr>
            </w:pPr>
            <w:r>
              <w:rPr>
                <w:rFonts w:ascii="宋体" w:hAnsi="宋体" w:cs="宋体" w:hint="eastAsia"/>
                <w:kern w:val="0"/>
                <w:szCs w:val="21"/>
              </w:rPr>
              <w:t>2.投标人具有2018年7月1日以来国内单项合同金额50万元及以上的烟火检测类业绩，每提供一个合同得1分，最多得3分。</w:t>
            </w:r>
          </w:p>
          <w:p w:rsidR="00872F30" w:rsidRDefault="00872F30" w:rsidP="006321C6">
            <w:pPr>
              <w:contextualSpacing/>
              <w:rPr>
                <w:rFonts w:ascii="宋体" w:hAnsi="宋体"/>
                <w:szCs w:val="21"/>
              </w:rPr>
            </w:pPr>
            <w:r>
              <w:rPr>
                <w:rFonts w:ascii="宋体" w:hAnsi="宋体" w:cs="宋体" w:hint="eastAsia"/>
                <w:kern w:val="0"/>
                <w:szCs w:val="21"/>
              </w:rPr>
              <w:t>（此项最多7分）</w:t>
            </w:r>
          </w:p>
        </w:tc>
        <w:tc>
          <w:tcPr>
            <w:tcW w:w="1855" w:type="dxa"/>
            <w:tcBorders>
              <w:top w:val="single" w:sz="4" w:space="0" w:color="auto"/>
              <w:left w:val="single" w:sz="4" w:space="0" w:color="auto"/>
              <w:right w:val="single" w:sz="4" w:space="0" w:color="auto"/>
            </w:tcBorders>
          </w:tcPr>
          <w:p w:rsidR="00872F30" w:rsidRDefault="00872F30" w:rsidP="006321C6">
            <w:pPr>
              <w:contextualSpacing/>
              <w:jc w:val="left"/>
              <w:rPr>
                <w:rFonts w:ascii="宋体" w:hAnsi="宋体"/>
                <w:szCs w:val="21"/>
              </w:rPr>
            </w:pPr>
            <w:r>
              <w:rPr>
                <w:rFonts w:ascii="宋体" w:hAnsi="宋体" w:hint="eastAsia"/>
                <w:szCs w:val="21"/>
              </w:rPr>
              <w:t>应提供中标通知书（如有）、合同复印件并加盖公章，时间以合同时间为准，若提供资料不能完整反映供应商业绩内容，另需由业主出具证明材料</w:t>
            </w:r>
          </w:p>
        </w:tc>
      </w:tr>
      <w:tr w:rsidR="00872F30" w:rsidTr="006321C6">
        <w:trPr>
          <w:trHeight w:val="680"/>
          <w:jc w:val="center"/>
        </w:trPr>
        <w:tc>
          <w:tcPr>
            <w:tcW w:w="708" w:type="dxa"/>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cs="宋体"/>
                <w:kern w:val="0"/>
                <w:szCs w:val="21"/>
              </w:rPr>
            </w:pPr>
            <w:r>
              <w:rPr>
                <w:rFonts w:ascii="宋体" w:hAnsi="宋体" w:cs="宋体" w:hint="eastAsia"/>
                <w:kern w:val="0"/>
                <w:szCs w:val="21"/>
              </w:rPr>
              <w:t>技术响应</w:t>
            </w:r>
          </w:p>
          <w:p w:rsidR="00872F30" w:rsidRDefault="00872F30" w:rsidP="006321C6">
            <w:pPr>
              <w:contextualSpacing/>
              <w:jc w:val="center"/>
              <w:rPr>
                <w:rFonts w:ascii="宋体" w:hAnsi="宋体" w:cs="宋体"/>
                <w:b/>
                <w:kern w:val="0"/>
                <w:szCs w:val="21"/>
              </w:rPr>
            </w:pPr>
            <w:r>
              <w:rPr>
                <w:rFonts w:ascii="宋体" w:hAnsi="宋体" w:cs="宋体" w:hint="eastAsia"/>
                <w:kern w:val="0"/>
                <w:szCs w:val="21"/>
              </w:rPr>
              <w:t>（20分）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rPr>
                <w:rFonts w:ascii="宋体" w:hAnsi="宋体" w:cs="宋体"/>
                <w:kern w:val="0"/>
                <w:szCs w:val="21"/>
              </w:rPr>
            </w:pPr>
            <w:r>
              <w:rPr>
                <w:rFonts w:ascii="宋体" w:hAnsi="宋体" w:cs="宋体" w:hint="eastAsia"/>
                <w:kern w:val="0"/>
                <w:szCs w:val="21"/>
              </w:rPr>
              <w:t>所投产</w:t>
            </w:r>
            <w:proofErr w:type="gramStart"/>
            <w:r>
              <w:rPr>
                <w:rFonts w:ascii="宋体" w:hAnsi="宋体" w:cs="宋体" w:hint="eastAsia"/>
                <w:kern w:val="0"/>
                <w:szCs w:val="21"/>
              </w:rPr>
              <w:t>品满足</w:t>
            </w:r>
            <w:proofErr w:type="gramEnd"/>
            <w:r>
              <w:rPr>
                <w:rFonts w:ascii="宋体" w:hAnsi="宋体" w:cs="宋体" w:hint="eastAsia"/>
                <w:kern w:val="0"/>
                <w:szCs w:val="21"/>
              </w:rPr>
              <w:t>磋商文件所有“★”技术参数要求的得20分，</w:t>
            </w:r>
          </w:p>
          <w:p w:rsidR="00872F30" w:rsidRDefault="00872F30" w:rsidP="006321C6">
            <w:pPr>
              <w:contextualSpacing/>
              <w:rPr>
                <w:rFonts w:ascii="宋体" w:hAnsi="宋体" w:cs="宋体"/>
                <w:kern w:val="0"/>
                <w:szCs w:val="21"/>
              </w:rPr>
            </w:pPr>
            <w:r>
              <w:rPr>
                <w:rFonts w:ascii="宋体" w:hAnsi="宋体" w:cs="宋体" w:hint="eastAsia"/>
                <w:kern w:val="0"/>
                <w:szCs w:val="21"/>
              </w:rPr>
              <w:t>技术参数涉及的截图、检测报告、证明文件、证书等证明材料必须在响应文件技术响应性要求一览表后</w:t>
            </w:r>
            <w:proofErr w:type="gramStart"/>
            <w:r>
              <w:rPr>
                <w:rFonts w:ascii="宋体" w:hAnsi="宋体" w:cs="宋体" w:hint="eastAsia"/>
                <w:kern w:val="0"/>
                <w:szCs w:val="21"/>
              </w:rPr>
              <w:t>附证明</w:t>
            </w:r>
            <w:proofErr w:type="gramEnd"/>
            <w:r>
              <w:rPr>
                <w:rFonts w:ascii="宋体" w:hAnsi="宋体" w:cs="宋体" w:hint="eastAsia"/>
                <w:kern w:val="0"/>
                <w:szCs w:val="21"/>
              </w:rPr>
              <w:t>材料，未提供或未按要求提供的视为负偏离，每一项负偏离扣2分，扣完为止。</w:t>
            </w:r>
          </w:p>
          <w:p w:rsidR="00872F30" w:rsidRDefault="00872F30" w:rsidP="006321C6">
            <w:pPr>
              <w:contextualSpacing/>
              <w:rPr>
                <w:rFonts w:ascii="宋体" w:hAnsi="宋体" w:cs="宋体"/>
                <w:b/>
                <w:kern w:val="0"/>
                <w:szCs w:val="21"/>
              </w:rPr>
            </w:pPr>
            <w:r>
              <w:rPr>
                <w:rFonts w:ascii="宋体" w:hAnsi="宋体" w:cs="宋体" w:hint="eastAsia"/>
                <w:kern w:val="0"/>
                <w:szCs w:val="21"/>
              </w:rPr>
              <w:t>（此项最多20分）</w:t>
            </w:r>
          </w:p>
        </w:tc>
        <w:tc>
          <w:tcPr>
            <w:tcW w:w="1855" w:type="dxa"/>
            <w:tcBorders>
              <w:top w:val="single" w:sz="4" w:space="0" w:color="auto"/>
              <w:left w:val="single" w:sz="4" w:space="0" w:color="auto"/>
              <w:right w:val="single" w:sz="4" w:space="0" w:color="auto"/>
            </w:tcBorders>
          </w:tcPr>
          <w:p w:rsidR="00872F30" w:rsidRDefault="00872F30" w:rsidP="006321C6">
            <w:pPr>
              <w:contextualSpacing/>
              <w:jc w:val="left"/>
              <w:rPr>
                <w:rFonts w:ascii="宋体" w:hAnsi="宋体"/>
                <w:szCs w:val="21"/>
              </w:rPr>
            </w:pPr>
          </w:p>
        </w:tc>
      </w:tr>
      <w:tr w:rsidR="00872F30" w:rsidTr="006321C6">
        <w:trPr>
          <w:trHeight w:val="680"/>
          <w:jc w:val="center"/>
        </w:trPr>
        <w:tc>
          <w:tcPr>
            <w:tcW w:w="708" w:type="dxa"/>
            <w:vMerge w:val="restart"/>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4</w:t>
            </w:r>
          </w:p>
        </w:tc>
        <w:tc>
          <w:tcPr>
            <w:tcW w:w="1735" w:type="dxa"/>
            <w:vMerge w:val="restart"/>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技术方案</w:t>
            </w:r>
          </w:p>
          <w:p w:rsidR="00872F30" w:rsidRDefault="00872F30" w:rsidP="006321C6">
            <w:pPr>
              <w:contextualSpacing/>
              <w:jc w:val="center"/>
              <w:rPr>
                <w:rFonts w:ascii="宋体" w:hAnsi="宋体"/>
                <w:snapToGrid w:val="0"/>
                <w:kern w:val="0"/>
                <w:szCs w:val="21"/>
              </w:rPr>
            </w:pPr>
            <w:r>
              <w:rPr>
                <w:rFonts w:ascii="宋体" w:hAnsi="宋体" w:hint="eastAsia"/>
                <w:szCs w:val="21"/>
              </w:rPr>
              <w:t>（</w:t>
            </w:r>
            <w:r>
              <w:rPr>
                <w:rFonts w:ascii="宋体" w:hAnsi="宋体"/>
                <w:szCs w:val="21"/>
              </w:rPr>
              <w:t>2</w:t>
            </w:r>
            <w:r>
              <w:rPr>
                <w:rFonts w:ascii="宋体" w:hAnsi="宋体" w:hint="eastAsia"/>
                <w:szCs w:val="21"/>
              </w:rPr>
              <w:t>6分）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left"/>
              <w:rPr>
                <w:rFonts w:ascii="宋体" w:hAnsi="宋体"/>
                <w:szCs w:val="21"/>
              </w:rPr>
            </w:pPr>
            <w:r>
              <w:rPr>
                <w:rFonts w:ascii="宋体" w:hAnsi="宋体" w:hint="eastAsia"/>
                <w:b/>
                <w:szCs w:val="21"/>
              </w:rPr>
              <w:t>施工方案</w:t>
            </w:r>
          </w:p>
          <w:p w:rsidR="00872F30" w:rsidRDefault="00872F30" w:rsidP="006321C6">
            <w:pPr>
              <w:contextualSpacing/>
              <w:jc w:val="left"/>
              <w:rPr>
                <w:rFonts w:ascii="宋体" w:hAnsi="宋体" w:cs="宋体"/>
                <w:bCs/>
                <w:kern w:val="0"/>
                <w:szCs w:val="21"/>
                <w:lang w:val="zh-CN"/>
              </w:rPr>
            </w:pPr>
            <w:r>
              <w:rPr>
                <w:rFonts w:ascii="宋体" w:hAnsi="宋体" w:cs="宋体" w:hint="eastAsia"/>
                <w:bCs/>
                <w:kern w:val="0"/>
                <w:szCs w:val="21"/>
                <w:lang w:val="zh-CN"/>
              </w:rPr>
              <w:t>对供应商的施工方案编写的完整性、科学性、针对性情况对投标人施工方案进行评定，要求施工必须针对户外施工特点进行方案描述，并详细描述野外防雷施工方案等</w:t>
            </w:r>
            <w:r>
              <w:rPr>
                <w:rFonts w:ascii="宋体" w:hAnsi="宋体" w:hint="eastAsia"/>
                <w:szCs w:val="21"/>
              </w:rPr>
              <w:t>进行综合评分</w:t>
            </w:r>
            <w:r>
              <w:rPr>
                <w:rFonts w:ascii="宋体" w:hAnsi="宋体" w:cs="宋体" w:hint="eastAsia"/>
                <w:bCs/>
                <w:kern w:val="0"/>
                <w:szCs w:val="21"/>
                <w:lang w:val="zh-CN"/>
              </w:rPr>
              <w:t>。</w:t>
            </w:r>
          </w:p>
          <w:p w:rsidR="00872F30" w:rsidRDefault="00872F30" w:rsidP="006321C6">
            <w:pPr>
              <w:contextualSpacing/>
              <w:jc w:val="left"/>
              <w:rPr>
                <w:rFonts w:ascii="宋体" w:hAnsi="宋体"/>
                <w:szCs w:val="21"/>
              </w:rPr>
            </w:pPr>
            <w:r>
              <w:rPr>
                <w:rFonts w:ascii="宋体" w:hAnsi="宋体" w:hint="eastAsia"/>
                <w:szCs w:val="21"/>
              </w:rPr>
              <w:t>（此项最多10分）</w:t>
            </w:r>
          </w:p>
        </w:tc>
        <w:tc>
          <w:tcPr>
            <w:tcW w:w="1855" w:type="dxa"/>
            <w:tcBorders>
              <w:top w:val="single" w:sz="4" w:space="0" w:color="auto"/>
              <w:left w:val="single" w:sz="4" w:space="0" w:color="auto"/>
              <w:bottom w:val="single" w:sz="4" w:space="0" w:color="auto"/>
              <w:right w:val="single" w:sz="4" w:space="0" w:color="auto"/>
            </w:tcBorders>
          </w:tcPr>
          <w:p w:rsidR="00872F30" w:rsidRDefault="00872F30" w:rsidP="006321C6">
            <w:pPr>
              <w:contextualSpacing/>
              <w:jc w:val="left"/>
              <w:rPr>
                <w:rFonts w:ascii="宋体" w:hAnsi="宋体"/>
                <w:b/>
                <w:szCs w:val="21"/>
              </w:rPr>
            </w:pPr>
          </w:p>
        </w:tc>
      </w:tr>
      <w:tr w:rsidR="00872F30" w:rsidTr="006321C6">
        <w:trPr>
          <w:trHeight w:val="416"/>
          <w:jc w:val="center"/>
        </w:trPr>
        <w:tc>
          <w:tcPr>
            <w:tcW w:w="708" w:type="dxa"/>
            <w:vMerge/>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1735" w:type="dxa"/>
            <w:vMerge/>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left"/>
              <w:rPr>
                <w:rFonts w:ascii="宋体" w:hAnsi="宋体"/>
                <w:b/>
                <w:szCs w:val="21"/>
              </w:rPr>
            </w:pPr>
            <w:r>
              <w:rPr>
                <w:rFonts w:ascii="宋体" w:hAnsi="宋体" w:hint="eastAsia"/>
                <w:b/>
                <w:szCs w:val="21"/>
              </w:rPr>
              <w:t>系统建设方案</w:t>
            </w:r>
          </w:p>
          <w:p w:rsidR="00872F30" w:rsidRDefault="00872F30" w:rsidP="006321C6">
            <w:pPr>
              <w:contextualSpacing/>
              <w:jc w:val="left"/>
              <w:rPr>
                <w:rFonts w:ascii="宋体" w:hAnsi="宋体"/>
                <w:szCs w:val="21"/>
              </w:rPr>
            </w:pPr>
            <w:r>
              <w:rPr>
                <w:rFonts w:ascii="宋体" w:hAnsi="宋体" w:hint="eastAsia"/>
                <w:szCs w:val="21"/>
              </w:rPr>
              <w:t>评委根据供应商提供的本项目系统建设方案，包含对系统的功能模块设计及内容描述、核心业务流程、功能模块截图，并且根据供应商对本项目建设方案的先进性、合理性、系统可靠性及数据的安全性等进行综合评分。</w:t>
            </w:r>
          </w:p>
          <w:p w:rsidR="00872F30" w:rsidRDefault="00872F30" w:rsidP="006321C6">
            <w:pPr>
              <w:pStyle w:val="3"/>
              <w:spacing w:before="0" w:after="0" w:line="240" w:lineRule="auto"/>
              <w:contextualSpacing/>
              <w:rPr>
                <w:rFonts w:ascii="宋体" w:hAnsi="宋体"/>
                <w:b w:val="0"/>
                <w:sz w:val="21"/>
                <w:szCs w:val="21"/>
              </w:rPr>
            </w:pPr>
            <w:r>
              <w:rPr>
                <w:rFonts w:ascii="宋体" w:hAnsi="宋体" w:hint="eastAsia"/>
                <w:b w:val="0"/>
                <w:sz w:val="21"/>
                <w:szCs w:val="21"/>
              </w:rPr>
              <w:t>（此项最多8分）</w:t>
            </w:r>
          </w:p>
        </w:tc>
        <w:tc>
          <w:tcPr>
            <w:tcW w:w="1855" w:type="dxa"/>
            <w:tcBorders>
              <w:top w:val="single" w:sz="4" w:space="0" w:color="auto"/>
              <w:left w:val="single" w:sz="4" w:space="0" w:color="auto"/>
              <w:bottom w:val="single" w:sz="4" w:space="0" w:color="auto"/>
              <w:right w:val="single" w:sz="4" w:space="0" w:color="auto"/>
            </w:tcBorders>
          </w:tcPr>
          <w:p w:rsidR="00872F30" w:rsidRDefault="00872F30" w:rsidP="006321C6">
            <w:pPr>
              <w:contextualSpacing/>
              <w:jc w:val="left"/>
              <w:rPr>
                <w:rFonts w:ascii="宋体" w:hAnsi="宋体"/>
                <w:b/>
                <w:szCs w:val="21"/>
              </w:rPr>
            </w:pPr>
          </w:p>
        </w:tc>
      </w:tr>
      <w:tr w:rsidR="00872F30" w:rsidTr="006321C6">
        <w:trPr>
          <w:trHeight w:val="680"/>
          <w:jc w:val="center"/>
        </w:trPr>
        <w:tc>
          <w:tcPr>
            <w:tcW w:w="708" w:type="dxa"/>
            <w:vMerge/>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1735" w:type="dxa"/>
            <w:vMerge/>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left"/>
              <w:rPr>
                <w:rFonts w:ascii="宋体" w:hAnsi="宋体"/>
                <w:b/>
                <w:szCs w:val="21"/>
              </w:rPr>
            </w:pPr>
            <w:r>
              <w:rPr>
                <w:rFonts w:ascii="宋体" w:hAnsi="宋体" w:hint="eastAsia"/>
                <w:b/>
                <w:szCs w:val="21"/>
              </w:rPr>
              <w:t>项目进度方案</w:t>
            </w:r>
          </w:p>
          <w:p w:rsidR="00872F30" w:rsidRDefault="00872F30" w:rsidP="006321C6">
            <w:pPr>
              <w:contextualSpacing/>
              <w:jc w:val="left"/>
              <w:rPr>
                <w:rFonts w:ascii="宋体" w:hAnsi="宋体"/>
                <w:szCs w:val="21"/>
              </w:rPr>
            </w:pPr>
            <w:r>
              <w:rPr>
                <w:rFonts w:ascii="宋体" w:hAnsi="宋体" w:hint="eastAsia"/>
                <w:szCs w:val="21"/>
              </w:rPr>
              <w:t>评委根据供应商提供的本项目进度方案（包含对本项目的质量和进度保证措施等）进行综合评分。</w:t>
            </w:r>
          </w:p>
          <w:p w:rsidR="00872F30" w:rsidRDefault="00872F30" w:rsidP="006321C6">
            <w:pPr>
              <w:contextualSpacing/>
              <w:jc w:val="left"/>
            </w:pPr>
            <w:r>
              <w:rPr>
                <w:rFonts w:ascii="宋体" w:hAnsi="宋体" w:hint="eastAsia"/>
                <w:szCs w:val="21"/>
              </w:rPr>
              <w:t>（此项最多5分）</w:t>
            </w:r>
          </w:p>
        </w:tc>
        <w:tc>
          <w:tcPr>
            <w:tcW w:w="1855" w:type="dxa"/>
            <w:tcBorders>
              <w:top w:val="single" w:sz="4" w:space="0" w:color="auto"/>
              <w:left w:val="single" w:sz="4" w:space="0" w:color="auto"/>
              <w:bottom w:val="single" w:sz="4" w:space="0" w:color="auto"/>
              <w:right w:val="single" w:sz="4" w:space="0" w:color="auto"/>
            </w:tcBorders>
          </w:tcPr>
          <w:p w:rsidR="00872F30" w:rsidRDefault="00872F30" w:rsidP="006321C6">
            <w:pPr>
              <w:contextualSpacing/>
              <w:jc w:val="left"/>
              <w:rPr>
                <w:rFonts w:ascii="宋体" w:hAnsi="宋体"/>
                <w:b/>
                <w:szCs w:val="21"/>
              </w:rPr>
            </w:pPr>
          </w:p>
        </w:tc>
      </w:tr>
      <w:tr w:rsidR="00872F30" w:rsidTr="006321C6">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left"/>
              <w:rPr>
                <w:rFonts w:ascii="宋体" w:hAnsi="宋体"/>
                <w:b/>
                <w:szCs w:val="21"/>
              </w:rPr>
            </w:pPr>
            <w:r>
              <w:rPr>
                <w:rFonts w:ascii="宋体" w:hAnsi="宋体" w:hint="eastAsia"/>
                <w:b/>
                <w:szCs w:val="21"/>
              </w:rPr>
              <w:t>售后服务方案</w:t>
            </w:r>
          </w:p>
          <w:p w:rsidR="00872F30" w:rsidRDefault="00872F30" w:rsidP="006321C6">
            <w:pPr>
              <w:contextualSpacing/>
              <w:jc w:val="left"/>
              <w:rPr>
                <w:rFonts w:ascii="宋体" w:hAnsi="宋体"/>
                <w:szCs w:val="21"/>
              </w:rPr>
            </w:pPr>
            <w:r>
              <w:rPr>
                <w:rFonts w:ascii="宋体" w:hAnsi="宋体" w:hint="eastAsia"/>
                <w:szCs w:val="21"/>
              </w:rPr>
              <w:t>评委根据供应商提供的售后服务方案（如培训方案、培训计划、售后服务体系、服务内容、本地化服务）进行评分。</w:t>
            </w:r>
          </w:p>
          <w:p w:rsidR="00872F30" w:rsidRDefault="00872F30" w:rsidP="006321C6">
            <w:pPr>
              <w:contextualSpacing/>
              <w:jc w:val="left"/>
            </w:pPr>
            <w:r>
              <w:rPr>
                <w:rFonts w:ascii="宋体" w:hAnsi="宋体" w:hint="eastAsia"/>
                <w:szCs w:val="21"/>
              </w:rPr>
              <w:t>（此项最多3分）</w:t>
            </w:r>
          </w:p>
        </w:tc>
        <w:tc>
          <w:tcPr>
            <w:tcW w:w="1855" w:type="dxa"/>
            <w:tcBorders>
              <w:top w:val="single" w:sz="4" w:space="0" w:color="auto"/>
              <w:left w:val="single" w:sz="4" w:space="0" w:color="auto"/>
              <w:bottom w:val="single" w:sz="4" w:space="0" w:color="auto"/>
              <w:right w:val="single" w:sz="4" w:space="0" w:color="auto"/>
            </w:tcBorders>
          </w:tcPr>
          <w:p w:rsidR="00872F30" w:rsidRDefault="00872F30" w:rsidP="006321C6">
            <w:pPr>
              <w:contextualSpacing/>
              <w:jc w:val="left"/>
              <w:rPr>
                <w:rFonts w:ascii="宋体" w:hAnsi="宋体"/>
                <w:b/>
                <w:szCs w:val="21"/>
              </w:rPr>
            </w:pPr>
          </w:p>
        </w:tc>
      </w:tr>
      <w:tr w:rsidR="00872F30" w:rsidTr="006321C6">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5</w:t>
            </w:r>
          </w:p>
        </w:tc>
        <w:tc>
          <w:tcPr>
            <w:tcW w:w="1735"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厂家技术支持</w:t>
            </w:r>
          </w:p>
          <w:p w:rsidR="00872F30" w:rsidRDefault="00872F30" w:rsidP="006321C6">
            <w:pPr>
              <w:contextualSpacing/>
              <w:jc w:val="center"/>
            </w:pPr>
            <w:r>
              <w:rPr>
                <w:rFonts w:ascii="宋体" w:hAnsi="宋体" w:hint="eastAsia"/>
                <w:szCs w:val="21"/>
              </w:rPr>
              <w:t>（4分）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contextualSpacing/>
              <w:jc w:val="left"/>
              <w:rPr>
                <w:rFonts w:ascii="宋体" w:hAnsi="宋体"/>
                <w:szCs w:val="21"/>
              </w:rPr>
            </w:pPr>
            <w:r>
              <w:rPr>
                <w:rFonts w:ascii="宋体" w:hAnsi="宋体" w:hint="eastAsia"/>
                <w:szCs w:val="21"/>
              </w:rPr>
              <w:t>主要设备（摄像机、流媒体存储/分发服务器）须提供三年原厂免费质保函，在此基础上，所有设备原厂</w:t>
            </w:r>
            <w:proofErr w:type="gramStart"/>
            <w:r>
              <w:rPr>
                <w:rFonts w:ascii="宋体" w:hAnsi="宋体" w:hint="eastAsia"/>
                <w:szCs w:val="21"/>
              </w:rPr>
              <w:t>每延保</w:t>
            </w:r>
            <w:proofErr w:type="gramEnd"/>
            <w:r>
              <w:rPr>
                <w:rFonts w:ascii="宋体" w:hAnsi="宋体" w:hint="eastAsia"/>
                <w:szCs w:val="21"/>
              </w:rPr>
              <w:t>一年，得2分,最多得4分。</w:t>
            </w:r>
          </w:p>
          <w:p w:rsidR="00872F30" w:rsidRDefault="00872F30" w:rsidP="006321C6">
            <w:pPr>
              <w:contextualSpacing/>
              <w:jc w:val="left"/>
            </w:pPr>
            <w:r>
              <w:rPr>
                <w:rFonts w:ascii="宋体" w:hAnsi="宋体" w:hint="eastAsia"/>
                <w:szCs w:val="21"/>
              </w:rPr>
              <w:t>（此项最多4分）</w:t>
            </w:r>
          </w:p>
        </w:tc>
        <w:tc>
          <w:tcPr>
            <w:tcW w:w="1855" w:type="dxa"/>
            <w:tcBorders>
              <w:top w:val="single" w:sz="4" w:space="0" w:color="auto"/>
              <w:left w:val="single" w:sz="4" w:space="0" w:color="auto"/>
              <w:bottom w:val="single" w:sz="4" w:space="0" w:color="auto"/>
              <w:right w:val="single" w:sz="4" w:space="0" w:color="auto"/>
            </w:tcBorders>
          </w:tcPr>
          <w:p w:rsidR="00872F30" w:rsidRDefault="00872F30" w:rsidP="006321C6">
            <w:pPr>
              <w:contextualSpacing/>
              <w:jc w:val="left"/>
              <w:rPr>
                <w:rFonts w:ascii="宋体" w:hAnsi="宋体"/>
                <w:szCs w:val="21"/>
              </w:rPr>
            </w:pPr>
            <w:r>
              <w:rPr>
                <w:rFonts w:ascii="宋体" w:hAnsi="宋体" w:hint="eastAsia"/>
                <w:szCs w:val="21"/>
              </w:rPr>
              <w:t>注：提供服务承诺函复印件，不提供不得分。</w:t>
            </w:r>
          </w:p>
        </w:tc>
      </w:tr>
      <w:tr w:rsidR="00872F30" w:rsidTr="006321C6">
        <w:trPr>
          <w:trHeight w:val="740"/>
          <w:jc w:val="center"/>
        </w:trPr>
        <w:tc>
          <w:tcPr>
            <w:tcW w:w="708" w:type="dxa"/>
            <w:vMerge w:val="restart"/>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6</w:t>
            </w:r>
          </w:p>
        </w:tc>
        <w:tc>
          <w:tcPr>
            <w:tcW w:w="1735" w:type="dxa"/>
            <w:vMerge w:val="restart"/>
            <w:tcBorders>
              <w:top w:val="single" w:sz="4" w:space="0" w:color="auto"/>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专业能力</w:t>
            </w:r>
          </w:p>
          <w:p w:rsidR="00872F30" w:rsidRDefault="00872F30" w:rsidP="006321C6">
            <w:pPr>
              <w:contextualSpacing/>
              <w:jc w:val="center"/>
              <w:rPr>
                <w:rFonts w:ascii="宋体" w:hAnsi="宋体"/>
                <w:snapToGrid w:val="0"/>
                <w:kern w:val="0"/>
                <w:szCs w:val="21"/>
              </w:rPr>
            </w:pPr>
            <w:r>
              <w:rPr>
                <w:rFonts w:ascii="宋体" w:hAnsi="宋体" w:hint="eastAsia"/>
                <w:szCs w:val="21"/>
              </w:rPr>
              <w:t>（7分）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jc w:val="left"/>
              <w:rPr>
                <w:rFonts w:ascii="宋体" w:hAnsi="宋体"/>
              </w:rPr>
            </w:pPr>
            <w:r>
              <w:rPr>
                <w:rFonts w:ascii="宋体" w:hAnsi="宋体" w:hint="eastAsia"/>
              </w:rPr>
              <w:t>具有可见光烟火检测类软件著作权，每提交一个该类软件著作权证明文件得1分，最多得5分。</w:t>
            </w:r>
          </w:p>
          <w:p w:rsidR="00872F30" w:rsidRDefault="00872F30" w:rsidP="006321C6">
            <w:pPr>
              <w:jc w:val="left"/>
            </w:pPr>
            <w:r>
              <w:rPr>
                <w:rFonts w:ascii="宋体" w:hAnsi="宋体" w:hint="eastAsia"/>
                <w:szCs w:val="21"/>
              </w:rPr>
              <w:t>（此项最多5分）</w:t>
            </w:r>
          </w:p>
        </w:tc>
        <w:tc>
          <w:tcPr>
            <w:tcW w:w="1855" w:type="dxa"/>
            <w:vMerge w:val="restart"/>
            <w:tcBorders>
              <w:top w:val="single" w:sz="4" w:space="0" w:color="auto"/>
              <w:left w:val="single" w:sz="4" w:space="0" w:color="auto"/>
              <w:right w:val="single" w:sz="4" w:space="0" w:color="auto"/>
            </w:tcBorders>
          </w:tcPr>
          <w:p w:rsidR="00872F30" w:rsidRDefault="00872F30" w:rsidP="006321C6">
            <w:pPr>
              <w:contextualSpacing/>
              <w:jc w:val="left"/>
              <w:rPr>
                <w:rFonts w:ascii="宋体" w:hAnsi="宋体"/>
                <w:szCs w:val="21"/>
              </w:rPr>
            </w:pPr>
            <w:r>
              <w:rPr>
                <w:rFonts w:ascii="宋体" w:hAnsi="宋体" w:hint="eastAsia"/>
                <w:szCs w:val="21"/>
              </w:rPr>
              <w:t>注：</w:t>
            </w:r>
          </w:p>
          <w:p w:rsidR="00872F30" w:rsidRDefault="00872F30" w:rsidP="006321C6">
            <w:pPr>
              <w:contextualSpacing/>
              <w:jc w:val="left"/>
              <w:rPr>
                <w:rFonts w:ascii="宋体" w:hAnsi="宋体"/>
                <w:szCs w:val="21"/>
              </w:rPr>
            </w:pPr>
            <w:r>
              <w:rPr>
                <w:rFonts w:ascii="宋体" w:hAnsi="宋体" w:hint="eastAsia"/>
                <w:szCs w:val="21"/>
              </w:rPr>
              <w:t>以上证书均需提供复印件加盖公章，未提供不得分；</w:t>
            </w:r>
          </w:p>
        </w:tc>
      </w:tr>
      <w:tr w:rsidR="00872F30" w:rsidTr="006321C6">
        <w:trPr>
          <w:trHeight w:val="680"/>
          <w:jc w:val="center"/>
        </w:trPr>
        <w:tc>
          <w:tcPr>
            <w:tcW w:w="708" w:type="dxa"/>
            <w:vMerge/>
            <w:tcBorders>
              <w:left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1735" w:type="dxa"/>
            <w:vMerge/>
            <w:tcBorders>
              <w:left w:val="single" w:sz="4" w:space="0" w:color="auto"/>
              <w:right w:val="single" w:sz="4" w:space="0" w:color="auto"/>
            </w:tcBorders>
            <w:vAlign w:val="center"/>
          </w:tcPr>
          <w:p w:rsidR="00872F30" w:rsidRDefault="00872F30" w:rsidP="006321C6">
            <w:pPr>
              <w:contextualSpacing/>
              <w:jc w:val="center"/>
              <w:rPr>
                <w:rFonts w:ascii="宋体" w:hAnsi="宋体"/>
                <w:szCs w:val="21"/>
              </w:rPr>
            </w:pP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jc w:val="left"/>
              <w:rPr>
                <w:rFonts w:ascii="宋体" w:hAnsi="宋体"/>
              </w:rPr>
            </w:pPr>
            <w:r>
              <w:rPr>
                <w:rFonts w:ascii="宋体" w:hAnsi="宋体" w:hint="eastAsia"/>
              </w:rPr>
              <w:t>具有热成像及视频图像烟火识别技术并能提供相应省部级科技鉴定或相关专利等证明文件的得2分。</w:t>
            </w:r>
          </w:p>
          <w:p w:rsidR="00872F30" w:rsidRDefault="00872F30" w:rsidP="006321C6">
            <w:pPr>
              <w:jc w:val="left"/>
            </w:pPr>
            <w:r>
              <w:rPr>
                <w:rFonts w:ascii="宋体" w:hAnsi="宋体" w:hint="eastAsia"/>
                <w:szCs w:val="21"/>
              </w:rPr>
              <w:t>（此项最多2分）</w:t>
            </w:r>
          </w:p>
        </w:tc>
        <w:tc>
          <w:tcPr>
            <w:tcW w:w="1855" w:type="dxa"/>
            <w:vMerge/>
            <w:tcBorders>
              <w:left w:val="single" w:sz="4" w:space="0" w:color="auto"/>
              <w:right w:val="single" w:sz="4" w:space="0" w:color="auto"/>
            </w:tcBorders>
          </w:tcPr>
          <w:p w:rsidR="00872F30" w:rsidRDefault="00872F30" w:rsidP="006321C6">
            <w:pPr>
              <w:contextualSpacing/>
              <w:jc w:val="left"/>
              <w:rPr>
                <w:rFonts w:ascii="宋体" w:hAnsi="宋体"/>
                <w:b/>
                <w:szCs w:val="21"/>
              </w:rPr>
            </w:pPr>
          </w:p>
        </w:tc>
      </w:tr>
      <w:tr w:rsidR="00872F30" w:rsidTr="006321C6">
        <w:trPr>
          <w:trHeight w:val="680"/>
          <w:jc w:val="center"/>
        </w:trPr>
        <w:tc>
          <w:tcPr>
            <w:tcW w:w="708" w:type="dxa"/>
            <w:tcBorders>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7</w:t>
            </w:r>
          </w:p>
        </w:tc>
        <w:tc>
          <w:tcPr>
            <w:tcW w:w="1735" w:type="dxa"/>
            <w:tcBorders>
              <w:left w:val="single" w:sz="4" w:space="0" w:color="auto"/>
              <w:right w:val="single" w:sz="4" w:space="0" w:color="auto"/>
            </w:tcBorders>
            <w:vAlign w:val="center"/>
          </w:tcPr>
          <w:p w:rsidR="00872F30" w:rsidRDefault="00872F30" w:rsidP="006321C6">
            <w:pPr>
              <w:contextualSpacing/>
              <w:jc w:val="center"/>
              <w:rPr>
                <w:rFonts w:ascii="宋体" w:hAnsi="宋体"/>
                <w:szCs w:val="21"/>
              </w:rPr>
            </w:pPr>
            <w:r>
              <w:rPr>
                <w:rFonts w:ascii="宋体" w:hAnsi="宋体" w:hint="eastAsia"/>
                <w:szCs w:val="21"/>
              </w:rPr>
              <w:t>认证证书</w:t>
            </w:r>
          </w:p>
          <w:p w:rsidR="00872F30" w:rsidRDefault="00872F30" w:rsidP="006321C6">
            <w:pPr>
              <w:contextualSpacing/>
              <w:jc w:val="center"/>
              <w:rPr>
                <w:rFonts w:ascii="宋体" w:hAnsi="宋体"/>
                <w:snapToGrid w:val="0"/>
                <w:kern w:val="0"/>
                <w:szCs w:val="21"/>
              </w:rPr>
            </w:pPr>
            <w:r>
              <w:rPr>
                <w:rFonts w:ascii="宋体" w:hAnsi="宋体" w:hint="eastAsia"/>
                <w:szCs w:val="21"/>
              </w:rPr>
              <w:t>（1分）</w:t>
            </w:r>
          </w:p>
        </w:tc>
        <w:tc>
          <w:tcPr>
            <w:tcW w:w="5560"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jc w:val="left"/>
              <w:rPr>
                <w:rFonts w:ascii="宋体" w:hAnsi="宋体"/>
              </w:rPr>
            </w:pPr>
            <w:r>
              <w:rPr>
                <w:rFonts w:ascii="宋体" w:hAnsi="宋体" w:hint="eastAsia"/>
              </w:rPr>
              <w:t>获得国家高新技术企业认定得1分。</w:t>
            </w:r>
          </w:p>
        </w:tc>
        <w:tc>
          <w:tcPr>
            <w:tcW w:w="1855" w:type="dxa"/>
            <w:vMerge/>
            <w:tcBorders>
              <w:left w:val="single" w:sz="4" w:space="0" w:color="auto"/>
              <w:bottom w:val="single" w:sz="4" w:space="0" w:color="auto"/>
              <w:right w:val="single" w:sz="4" w:space="0" w:color="auto"/>
            </w:tcBorders>
          </w:tcPr>
          <w:p w:rsidR="00872F30" w:rsidRDefault="00872F30" w:rsidP="006321C6">
            <w:pPr>
              <w:contextualSpacing/>
              <w:jc w:val="left"/>
              <w:rPr>
                <w:rFonts w:ascii="宋体" w:hAnsi="宋体"/>
                <w:b/>
                <w:szCs w:val="21"/>
              </w:rPr>
            </w:pPr>
          </w:p>
        </w:tc>
      </w:tr>
    </w:tbl>
    <w:p w:rsidR="00872F30" w:rsidRDefault="00872F30" w:rsidP="00872F30">
      <w:pPr>
        <w:spacing w:line="360" w:lineRule="auto"/>
        <w:ind w:firstLineChars="200" w:firstLine="422"/>
        <w:rPr>
          <w:rFonts w:ascii="宋体" w:hAnsi="宋体" w:cs="宋体"/>
          <w:b/>
          <w:szCs w:val="21"/>
        </w:rPr>
      </w:pPr>
      <w:r>
        <w:rPr>
          <w:rFonts w:ascii="宋体" w:hAnsi="宋体" w:cs="宋体" w:hint="eastAsia"/>
          <w:b/>
          <w:szCs w:val="21"/>
        </w:rPr>
        <w:t>注：</w:t>
      </w:r>
    </w:p>
    <w:p w:rsidR="00872F30" w:rsidRDefault="00872F30" w:rsidP="00872F30">
      <w:pPr>
        <w:adjustRightInd w:val="0"/>
        <w:snapToGrid w:val="0"/>
        <w:spacing w:line="360" w:lineRule="auto"/>
        <w:ind w:firstLineChars="200" w:firstLine="422"/>
        <w:rPr>
          <w:rFonts w:ascii="宋体" w:hAnsi="宋体" w:cs="宋体"/>
          <w:b/>
          <w:szCs w:val="21"/>
        </w:rPr>
      </w:pPr>
      <w:bookmarkStart w:id="0" w:name="_GoBack"/>
      <w:r>
        <w:rPr>
          <w:rFonts w:ascii="宋体" w:hAnsi="宋体" w:cs="宋体" w:hint="eastAsia"/>
          <w:b/>
          <w:szCs w:val="21"/>
        </w:rPr>
        <w:t>1.服务进场时，若有服务参数未能满足磋商文件要求而中标单位未在偏离表中明确的情况，须无条件按采购人及磋商文件要求整改，否则采购人有权解除合同，同时追究中标人因此造成的损失。</w:t>
      </w:r>
    </w:p>
    <w:p w:rsidR="00872F30" w:rsidRDefault="00872F30" w:rsidP="00872F30">
      <w:pPr>
        <w:adjustRightInd w:val="0"/>
        <w:snapToGrid w:val="0"/>
        <w:spacing w:line="360" w:lineRule="auto"/>
        <w:ind w:firstLineChars="200" w:firstLine="420"/>
        <w:rPr>
          <w:rFonts w:ascii="宋体" w:hAnsi="宋体" w:cs="宋体"/>
        </w:rPr>
      </w:pPr>
      <w:r>
        <w:rPr>
          <w:rFonts w:ascii="宋体" w:hAnsi="宋体" w:cs="宋体" w:hint="eastAsia"/>
        </w:rPr>
        <w:t>2.评分细则中要求提供的证明文件及资料等在响应文件中提供复印件，要求“原件核查”的材料须在投标截止前将相关原件或公证件随同响应文件一并提交以供评委会核查，过时不予接收，不提供原件核查的不得分。</w:t>
      </w:r>
    </w:p>
    <w:p w:rsidR="00872F30" w:rsidRDefault="00872F30" w:rsidP="00872F30">
      <w:pPr>
        <w:adjustRightInd w:val="0"/>
        <w:snapToGrid w:val="0"/>
        <w:spacing w:line="360" w:lineRule="auto"/>
        <w:ind w:firstLineChars="200" w:firstLine="420"/>
        <w:rPr>
          <w:rFonts w:ascii="宋体" w:hAnsi="宋体" w:cs="宋体"/>
        </w:rPr>
      </w:pPr>
      <w:r>
        <w:rPr>
          <w:rFonts w:ascii="宋体" w:hAnsi="宋体" w:cs="宋体" w:hint="eastAsia"/>
        </w:rPr>
        <w:t>3.评审时，未能按以上要求提供相应证明（复印件和原件、公证件）的，不作为评标依据，不得分。</w:t>
      </w:r>
    </w:p>
    <w:p w:rsidR="00872F30" w:rsidRDefault="00872F30" w:rsidP="00872F30">
      <w:pPr>
        <w:adjustRightInd w:val="0"/>
        <w:snapToGrid w:val="0"/>
        <w:spacing w:line="360" w:lineRule="auto"/>
        <w:ind w:firstLineChars="200" w:firstLine="420"/>
        <w:rPr>
          <w:rFonts w:ascii="宋体" w:hAnsi="宋体" w:cs="宋体"/>
          <w:szCs w:val="21"/>
        </w:rPr>
      </w:pPr>
      <w:r>
        <w:rPr>
          <w:rFonts w:ascii="宋体" w:hAnsi="宋体" w:cs="宋体" w:hint="eastAsia"/>
          <w:szCs w:val="21"/>
        </w:rPr>
        <w:t>3.供应商按评分细则所有得分项目均视为对本次招标的承诺，中标后均作为合同的组成部分。</w:t>
      </w:r>
    </w:p>
    <w:p w:rsidR="00872F30" w:rsidRDefault="00872F30" w:rsidP="00872F30">
      <w:pPr>
        <w:adjustRightInd w:val="0"/>
        <w:snapToGrid w:val="0"/>
        <w:spacing w:line="360" w:lineRule="auto"/>
        <w:ind w:firstLineChars="200" w:firstLine="420"/>
        <w:rPr>
          <w:rFonts w:ascii="宋体" w:hAnsi="宋体" w:cs="宋体"/>
          <w:szCs w:val="21"/>
        </w:rPr>
      </w:pPr>
      <w:r>
        <w:rPr>
          <w:rFonts w:ascii="宋体" w:hAnsi="宋体" w:cs="宋体" w:hint="eastAsia"/>
          <w:szCs w:val="21"/>
        </w:rPr>
        <w:t>4.为便于评分，请供应商按评分表样式，逐条列出证明材料所在页码，格式自定。</w:t>
      </w:r>
    </w:p>
    <w:p w:rsidR="00872F30" w:rsidRDefault="00872F30" w:rsidP="00872F30">
      <w:pPr>
        <w:adjustRightInd w:val="0"/>
        <w:snapToGrid w:val="0"/>
        <w:spacing w:line="360" w:lineRule="auto"/>
        <w:rPr>
          <w:rFonts w:ascii="宋体" w:hAnsi="宋体" w:cs="宋体"/>
        </w:rPr>
      </w:pPr>
      <w:r>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7"/>
        <w:gridCol w:w="4806"/>
        <w:gridCol w:w="2896"/>
      </w:tblGrid>
      <w:tr w:rsidR="00872F30" w:rsidTr="006321C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bookmarkEnd w:id="0"/>
          <w:p w:rsidR="00872F30" w:rsidRDefault="00872F30" w:rsidP="006321C6">
            <w:pPr>
              <w:rPr>
                <w:rFonts w:ascii="宋体" w:hAnsi="宋体" w:cs="宋体"/>
                <w:szCs w:val="21"/>
              </w:rPr>
            </w:pPr>
            <w:r>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rPr>
                <w:rFonts w:ascii="宋体" w:hAnsi="宋体" w:cs="宋体"/>
                <w:szCs w:val="21"/>
              </w:rPr>
            </w:pPr>
            <w:r>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rPr>
                <w:rFonts w:ascii="宋体" w:hAnsi="宋体" w:cs="宋体"/>
                <w:szCs w:val="21"/>
              </w:rPr>
            </w:pPr>
            <w:r>
              <w:rPr>
                <w:rFonts w:ascii="宋体" w:hAnsi="宋体" w:cs="宋体" w:hint="eastAsia"/>
                <w:szCs w:val="21"/>
              </w:rPr>
              <w:t>备注</w:t>
            </w:r>
          </w:p>
        </w:tc>
      </w:tr>
      <w:tr w:rsidR="00872F30" w:rsidTr="006321C6">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jc w:val="center"/>
              <w:rPr>
                <w:rFonts w:ascii="宋体" w:hAnsi="宋体" w:cs="宋体"/>
                <w:szCs w:val="21"/>
              </w:rPr>
            </w:pPr>
            <w:r>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rPr>
                <w:rFonts w:ascii="宋体" w:hAnsi="宋体" w:cs="宋体"/>
                <w:szCs w:val="21"/>
              </w:rPr>
            </w:pPr>
            <w:r>
              <w:rPr>
                <w:rFonts w:ascii="宋体" w:hAnsi="宋体" w:cs="宋体" w:hint="eastAsia"/>
                <w:szCs w:val="21"/>
              </w:rPr>
              <w:t>见响应文件        页</w:t>
            </w:r>
          </w:p>
        </w:tc>
      </w:tr>
      <w:tr w:rsidR="00872F30" w:rsidTr="006321C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jc w:val="center"/>
              <w:rPr>
                <w:rFonts w:ascii="宋体" w:hAnsi="宋体" w:cs="宋体"/>
                <w:szCs w:val="21"/>
              </w:rPr>
            </w:pPr>
            <w:r>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rPr>
                <w:rFonts w:ascii="宋体" w:hAnsi="宋体" w:cs="宋体"/>
                <w:szCs w:val="21"/>
              </w:rPr>
            </w:pPr>
            <w:r>
              <w:rPr>
                <w:rFonts w:ascii="宋体" w:hAnsi="宋体" w:cs="宋体" w:hint="eastAsia"/>
                <w:szCs w:val="21"/>
              </w:rPr>
              <w:t>见响应文件        页</w:t>
            </w:r>
          </w:p>
        </w:tc>
      </w:tr>
      <w:tr w:rsidR="00872F30" w:rsidTr="006321C6">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jc w:val="center"/>
              <w:rPr>
                <w:rFonts w:ascii="宋体" w:hAnsi="宋体" w:cs="宋体"/>
                <w:szCs w:val="21"/>
              </w:rPr>
            </w:pPr>
            <w:r>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872F30" w:rsidRDefault="00872F30" w:rsidP="006321C6">
            <w:pPr>
              <w:spacing w:line="360" w:lineRule="auto"/>
              <w:rPr>
                <w:rFonts w:ascii="宋体" w:hAnsi="宋体" w:cs="宋体"/>
                <w:szCs w:val="21"/>
              </w:rPr>
            </w:pPr>
            <w:r>
              <w:rPr>
                <w:rFonts w:ascii="宋体" w:hAnsi="宋体" w:cs="宋体" w:hint="eastAsia"/>
                <w:szCs w:val="21"/>
              </w:rPr>
              <w:t>见响应文件        页</w:t>
            </w:r>
          </w:p>
        </w:tc>
      </w:tr>
    </w:tbl>
    <w:p w:rsidR="001669F5" w:rsidRDefault="001669F5"/>
    <w:sectPr w:rsidR="001669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37" w:rsidRDefault="000B3037" w:rsidP="000B3037">
      <w:r>
        <w:separator/>
      </w:r>
    </w:p>
  </w:endnote>
  <w:endnote w:type="continuationSeparator" w:id="0">
    <w:p w:rsidR="000B3037" w:rsidRDefault="000B3037" w:rsidP="000B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37" w:rsidRDefault="000B3037" w:rsidP="000B3037">
      <w:r>
        <w:separator/>
      </w:r>
    </w:p>
  </w:footnote>
  <w:footnote w:type="continuationSeparator" w:id="0">
    <w:p w:rsidR="000B3037" w:rsidRDefault="000B3037" w:rsidP="000B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062E"/>
    <w:multiLevelType w:val="singleLevel"/>
    <w:tmpl w:val="076C062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C66"/>
    <w:rsid w:val="000B3037"/>
    <w:rsid w:val="001669F5"/>
    <w:rsid w:val="005A6C66"/>
    <w:rsid w:val="00872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3037"/>
    <w:pPr>
      <w:widowControl w:val="0"/>
      <w:jc w:val="both"/>
    </w:pPr>
    <w:rPr>
      <w:rFonts w:ascii="Calibri" w:eastAsia="宋体" w:hAnsi="Calibri" w:cs="Times New Roman"/>
      <w:szCs w:val="24"/>
    </w:rPr>
  </w:style>
  <w:style w:type="paragraph" w:styleId="2">
    <w:name w:val="heading 2"/>
    <w:basedOn w:val="a"/>
    <w:next w:val="a"/>
    <w:link w:val="2Char"/>
    <w:qFormat/>
    <w:rsid w:val="000B3037"/>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0B30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037"/>
    <w:rPr>
      <w:sz w:val="18"/>
      <w:szCs w:val="18"/>
    </w:rPr>
  </w:style>
  <w:style w:type="paragraph" w:styleId="a4">
    <w:name w:val="footer"/>
    <w:basedOn w:val="a"/>
    <w:link w:val="Char0"/>
    <w:uiPriority w:val="99"/>
    <w:unhideWhenUsed/>
    <w:rsid w:val="000B3037"/>
    <w:pPr>
      <w:tabs>
        <w:tab w:val="center" w:pos="4153"/>
        <w:tab w:val="right" w:pos="8306"/>
      </w:tabs>
      <w:snapToGrid w:val="0"/>
      <w:jc w:val="left"/>
    </w:pPr>
    <w:rPr>
      <w:sz w:val="18"/>
      <w:szCs w:val="18"/>
    </w:rPr>
  </w:style>
  <w:style w:type="character" w:customStyle="1" w:styleId="Char0">
    <w:name w:val="页脚 Char"/>
    <w:basedOn w:val="a0"/>
    <w:link w:val="a4"/>
    <w:uiPriority w:val="99"/>
    <w:rsid w:val="000B3037"/>
    <w:rPr>
      <w:sz w:val="18"/>
      <w:szCs w:val="18"/>
    </w:rPr>
  </w:style>
  <w:style w:type="character" w:customStyle="1" w:styleId="2Char">
    <w:name w:val="标题 2 Char"/>
    <w:basedOn w:val="a0"/>
    <w:link w:val="2"/>
    <w:qFormat/>
    <w:rsid w:val="000B3037"/>
    <w:rPr>
      <w:rFonts w:ascii="楷体_GB2312" w:eastAsia="楷体_GB2312" w:hAnsi="Calibri" w:cs="Times New Roman"/>
      <w:b/>
      <w:sz w:val="28"/>
      <w:szCs w:val="28"/>
    </w:rPr>
  </w:style>
  <w:style w:type="paragraph" w:customStyle="1" w:styleId="Default">
    <w:name w:val="Default"/>
    <w:qFormat/>
    <w:rsid w:val="000B3037"/>
    <w:pPr>
      <w:widowControl w:val="0"/>
      <w:autoSpaceDE w:val="0"/>
      <w:autoSpaceDN w:val="0"/>
      <w:adjustRightInd w:val="0"/>
    </w:pPr>
    <w:rPr>
      <w:rFonts w:ascii="宋体" w:eastAsia="宋体" w:hAnsi="Calibri" w:cs="宋体"/>
      <w:color w:val="000000"/>
      <w:kern w:val="0"/>
      <w:sz w:val="24"/>
      <w:szCs w:val="24"/>
    </w:rPr>
  </w:style>
  <w:style w:type="character" w:customStyle="1" w:styleId="3Char">
    <w:name w:val="标题 3 Char"/>
    <w:basedOn w:val="a0"/>
    <w:link w:val="3"/>
    <w:uiPriority w:val="9"/>
    <w:semiHidden/>
    <w:rsid w:val="000B3037"/>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0B3037"/>
    <w:pPr>
      <w:widowControl w:val="0"/>
      <w:jc w:val="both"/>
    </w:pPr>
    <w:rPr>
      <w:rFonts w:ascii="Calibri" w:eastAsia="宋体" w:hAnsi="Calibri" w:cs="Times New Roman"/>
      <w:szCs w:val="24"/>
    </w:rPr>
  </w:style>
  <w:style w:type="paragraph" w:styleId="2">
    <w:name w:val="heading 2"/>
    <w:basedOn w:val="a"/>
    <w:next w:val="a"/>
    <w:link w:val="2Char"/>
    <w:qFormat/>
    <w:rsid w:val="000B3037"/>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0B30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30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3037"/>
    <w:rPr>
      <w:sz w:val="18"/>
      <w:szCs w:val="18"/>
    </w:rPr>
  </w:style>
  <w:style w:type="paragraph" w:styleId="a4">
    <w:name w:val="footer"/>
    <w:basedOn w:val="a"/>
    <w:link w:val="Char0"/>
    <w:uiPriority w:val="99"/>
    <w:unhideWhenUsed/>
    <w:rsid w:val="000B3037"/>
    <w:pPr>
      <w:tabs>
        <w:tab w:val="center" w:pos="4153"/>
        <w:tab w:val="right" w:pos="8306"/>
      </w:tabs>
      <w:snapToGrid w:val="0"/>
      <w:jc w:val="left"/>
    </w:pPr>
    <w:rPr>
      <w:sz w:val="18"/>
      <w:szCs w:val="18"/>
    </w:rPr>
  </w:style>
  <w:style w:type="character" w:customStyle="1" w:styleId="Char0">
    <w:name w:val="页脚 Char"/>
    <w:basedOn w:val="a0"/>
    <w:link w:val="a4"/>
    <w:uiPriority w:val="99"/>
    <w:rsid w:val="000B3037"/>
    <w:rPr>
      <w:sz w:val="18"/>
      <w:szCs w:val="18"/>
    </w:rPr>
  </w:style>
  <w:style w:type="character" w:customStyle="1" w:styleId="2Char">
    <w:name w:val="标题 2 Char"/>
    <w:basedOn w:val="a0"/>
    <w:link w:val="2"/>
    <w:qFormat/>
    <w:rsid w:val="000B3037"/>
    <w:rPr>
      <w:rFonts w:ascii="楷体_GB2312" w:eastAsia="楷体_GB2312" w:hAnsi="Calibri" w:cs="Times New Roman"/>
      <w:b/>
      <w:sz w:val="28"/>
      <w:szCs w:val="28"/>
    </w:rPr>
  </w:style>
  <w:style w:type="paragraph" w:customStyle="1" w:styleId="Default">
    <w:name w:val="Default"/>
    <w:qFormat/>
    <w:rsid w:val="000B3037"/>
    <w:pPr>
      <w:widowControl w:val="0"/>
      <w:autoSpaceDE w:val="0"/>
      <w:autoSpaceDN w:val="0"/>
      <w:adjustRightInd w:val="0"/>
    </w:pPr>
    <w:rPr>
      <w:rFonts w:ascii="宋体" w:eastAsia="宋体" w:hAnsi="Calibri" w:cs="宋体"/>
      <w:color w:val="000000"/>
      <w:kern w:val="0"/>
      <w:sz w:val="24"/>
      <w:szCs w:val="24"/>
    </w:rPr>
  </w:style>
  <w:style w:type="character" w:customStyle="1" w:styleId="3Char">
    <w:name w:val="标题 3 Char"/>
    <w:basedOn w:val="a0"/>
    <w:link w:val="3"/>
    <w:uiPriority w:val="9"/>
    <w:semiHidden/>
    <w:rsid w:val="000B3037"/>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Sky</cp:lastModifiedBy>
  <cp:revision>3</cp:revision>
  <dcterms:created xsi:type="dcterms:W3CDTF">2021-07-22T02:07:00Z</dcterms:created>
  <dcterms:modified xsi:type="dcterms:W3CDTF">2021-07-28T08:08:00Z</dcterms:modified>
</cp:coreProperties>
</file>